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EB" w:rsidRDefault="00DE62EB" w:rsidP="00DE62EB">
      <w:pPr>
        <w:jc w:val="center"/>
        <w:outlineLvl w:val="0"/>
        <w:rPr>
          <w:b/>
          <w:caps/>
          <w:sz w:val="48"/>
          <w:szCs w:val="48"/>
        </w:rPr>
      </w:pPr>
    </w:p>
    <w:p w:rsidR="00DE62EB" w:rsidRPr="004C7676" w:rsidRDefault="00DE62EB" w:rsidP="00DE62EB">
      <w:pPr>
        <w:jc w:val="center"/>
        <w:outlineLvl w:val="0"/>
        <w:rPr>
          <w:b/>
          <w:caps/>
          <w:sz w:val="48"/>
          <w:szCs w:val="48"/>
        </w:rPr>
      </w:pPr>
      <w:r w:rsidRPr="004C7676">
        <w:rPr>
          <w:b/>
          <w:caps/>
          <w:sz w:val="48"/>
          <w:szCs w:val="48"/>
        </w:rPr>
        <w:t xml:space="preserve">Specifikace </w:t>
      </w:r>
      <w:r>
        <w:rPr>
          <w:b/>
          <w:caps/>
          <w:sz w:val="48"/>
          <w:szCs w:val="48"/>
        </w:rPr>
        <w:t xml:space="preserve">projektu, včetně </w:t>
      </w:r>
      <w:r w:rsidR="00704725">
        <w:rPr>
          <w:b/>
          <w:caps/>
          <w:sz w:val="48"/>
          <w:szCs w:val="48"/>
        </w:rPr>
        <w:t xml:space="preserve">podrobných </w:t>
      </w:r>
      <w:r>
        <w:rPr>
          <w:b/>
          <w:caps/>
          <w:sz w:val="48"/>
          <w:szCs w:val="48"/>
        </w:rPr>
        <w:t>podmínek</w:t>
      </w:r>
      <w:r w:rsidR="00704725">
        <w:rPr>
          <w:b/>
          <w:caps/>
          <w:sz w:val="48"/>
          <w:szCs w:val="48"/>
        </w:rPr>
        <w:t xml:space="preserve"> čerpání</w:t>
      </w:r>
    </w:p>
    <w:p w:rsidR="00DE62EB" w:rsidRPr="004C7676" w:rsidRDefault="00DE62EB" w:rsidP="00DE62EB">
      <w:pPr>
        <w:jc w:val="center"/>
        <w:outlineLvl w:val="0"/>
        <w:rPr>
          <w:b/>
          <w:caps/>
          <w:sz w:val="48"/>
          <w:szCs w:val="48"/>
        </w:rPr>
      </w:pPr>
      <w:r w:rsidRPr="004C7676">
        <w:rPr>
          <w:b/>
          <w:caps/>
          <w:sz w:val="48"/>
          <w:szCs w:val="48"/>
        </w:rPr>
        <w:t>(dále jen „Specifikace“)</w:t>
      </w:r>
    </w:p>
    <w:p w:rsidR="00704725" w:rsidRPr="00D603C1" w:rsidRDefault="00704725" w:rsidP="00DE62EB">
      <w:pPr>
        <w:jc w:val="both"/>
        <w:rPr>
          <w:rFonts w:ascii="Arial" w:hAnsi="Arial" w:cs="Arial"/>
          <w:b/>
          <w:caps/>
          <w:sz w:val="52"/>
          <w:szCs w:val="52"/>
          <w:u w:val="single"/>
        </w:rPr>
      </w:pPr>
    </w:p>
    <w:p w:rsidR="00767CC6" w:rsidRDefault="00DE62EB" w:rsidP="00DE62EB">
      <w:pPr>
        <w:jc w:val="center"/>
        <w:rPr>
          <w:b/>
          <w:caps/>
          <w:sz w:val="48"/>
          <w:szCs w:val="48"/>
        </w:rPr>
      </w:pPr>
      <w:r w:rsidRPr="005A7129">
        <w:rPr>
          <w:b/>
          <w:caps/>
          <w:sz w:val="48"/>
          <w:szCs w:val="48"/>
        </w:rPr>
        <w:t>Operační program DOPRAVA</w:t>
      </w:r>
    </w:p>
    <w:p w:rsidR="00DE62EB" w:rsidRPr="005A7129" w:rsidRDefault="00DE62EB" w:rsidP="00DE62EB">
      <w:pPr>
        <w:jc w:val="center"/>
        <w:rPr>
          <w:b/>
          <w:caps/>
          <w:sz w:val="48"/>
          <w:szCs w:val="48"/>
        </w:rPr>
      </w:pPr>
      <w:r w:rsidRPr="005A7129">
        <w:rPr>
          <w:b/>
          <w:caps/>
          <w:sz w:val="48"/>
          <w:szCs w:val="48"/>
        </w:rPr>
        <w:t xml:space="preserve">Technická pomoc </w:t>
      </w:r>
      <w:r w:rsidR="00704725" w:rsidRPr="005A7129">
        <w:rPr>
          <w:b/>
          <w:caps/>
          <w:sz w:val="48"/>
          <w:szCs w:val="48"/>
        </w:rPr>
        <w:t>OPD</w:t>
      </w:r>
      <w:r w:rsidRPr="005A7129">
        <w:rPr>
          <w:b/>
          <w:caps/>
          <w:sz w:val="48"/>
          <w:szCs w:val="48"/>
        </w:rPr>
        <w:t xml:space="preserve"> </w:t>
      </w:r>
    </w:p>
    <w:p w:rsidR="00DE62EB" w:rsidRDefault="00DE62EB" w:rsidP="00DE62EB">
      <w:pPr>
        <w:jc w:val="both"/>
      </w:pPr>
    </w:p>
    <w:p w:rsidR="00DE62EB" w:rsidRDefault="00DE62EB" w:rsidP="00DE62EB">
      <w:pPr>
        <w:jc w:val="both"/>
      </w:pPr>
    </w:p>
    <w:p w:rsidR="00DE62EB" w:rsidRDefault="00DE62EB" w:rsidP="00DE62EB">
      <w:pPr>
        <w:jc w:val="both"/>
      </w:pPr>
    </w:p>
    <w:p w:rsidR="0066153E" w:rsidRPr="005A7129" w:rsidRDefault="0066153E" w:rsidP="0066153E">
      <w:pPr>
        <w:tabs>
          <w:tab w:val="left" w:pos="708"/>
        </w:tabs>
        <w:jc w:val="both"/>
        <w:rPr>
          <w:b/>
          <w:snapToGrid w:val="0"/>
          <w:sz w:val="28"/>
          <w:szCs w:val="28"/>
        </w:rPr>
      </w:pPr>
      <w:r w:rsidRPr="005A7129">
        <w:rPr>
          <w:b/>
          <w:snapToGrid w:val="0"/>
          <w:sz w:val="28"/>
          <w:szCs w:val="28"/>
        </w:rPr>
        <w:t xml:space="preserve">Příjemce:  </w:t>
      </w:r>
    </w:p>
    <w:p w:rsidR="0066153E" w:rsidRPr="005A7129" w:rsidRDefault="0066153E" w:rsidP="0066153E">
      <w:pPr>
        <w:tabs>
          <w:tab w:val="left" w:pos="708"/>
        </w:tabs>
        <w:jc w:val="both"/>
        <w:rPr>
          <w:snapToGrid w:val="0"/>
          <w:sz w:val="28"/>
          <w:szCs w:val="28"/>
        </w:rPr>
      </w:pPr>
      <w:r w:rsidRPr="005A7129">
        <w:rPr>
          <w:b/>
          <w:snapToGrid w:val="0"/>
          <w:sz w:val="28"/>
          <w:szCs w:val="28"/>
        </w:rPr>
        <w:t xml:space="preserve">Zastoupen: </w:t>
      </w:r>
    </w:p>
    <w:p w:rsidR="0066153E" w:rsidRPr="005A7129" w:rsidRDefault="0066153E" w:rsidP="0066153E">
      <w:pPr>
        <w:tabs>
          <w:tab w:val="left" w:pos="708"/>
        </w:tabs>
        <w:jc w:val="both"/>
        <w:rPr>
          <w:b/>
          <w:snapToGrid w:val="0"/>
          <w:sz w:val="28"/>
          <w:szCs w:val="28"/>
        </w:rPr>
      </w:pPr>
      <w:r w:rsidRPr="005A7129">
        <w:rPr>
          <w:b/>
          <w:snapToGrid w:val="0"/>
          <w:sz w:val="28"/>
          <w:szCs w:val="28"/>
        </w:rPr>
        <w:t xml:space="preserve">Sídlo: </w:t>
      </w:r>
    </w:p>
    <w:p w:rsidR="00DE62EB" w:rsidRPr="005A7129" w:rsidRDefault="0066153E" w:rsidP="0066153E">
      <w:pPr>
        <w:tabs>
          <w:tab w:val="left" w:pos="708"/>
        </w:tabs>
        <w:jc w:val="both"/>
        <w:rPr>
          <w:b/>
          <w:snapToGrid w:val="0"/>
          <w:sz w:val="28"/>
          <w:szCs w:val="28"/>
        </w:rPr>
      </w:pPr>
      <w:r w:rsidRPr="005A7129">
        <w:rPr>
          <w:b/>
          <w:snapToGrid w:val="0"/>
          <w:sz w:val="28"/>
          <w:szCs w:val="28"/>
        </w:rPr>
        <w:t>IČ:</w:t>
      </w:r>
      <w:r w:rsidRPr="005A7129">
        <w:rPr>
          <w:snapToGrid w:val="0"/>
          <w:sz w:val="28"/>
          <w:szCs w:val="28"/>
        </w:rPr>
        <w:t xml:space="preserve"> </w:t>
      </w:r>
    </w:p>
    <w:p w:rsidR="00DE62EB" w:rsidRDefault="00DE62EB" w:rsidP="00DE62EB">
      <w:pPr>
        <w:tabs>
          <w:tab w:val="left" w:pos="708"/>
        </w:tabs>
        <w:jc w:val="center"/>
        <w:rPr>
          <w:snapToGrid w:val="0"/>
        </w:rPr>
      </w:pPr>
    </w:p>
    <w:p w:rsidR="006B6B7B" w:rsidRPr="00964654" w:rsidRDefault="006B6B7B" w:rsidP="00DE62EB">
      <w:pPr>
        <w:tabs>
          <w:tab w:val="left" w:pos="708"/>
        </w:tabs>
        <w:jc w:val="center"/>
        <w:rPr>
          <w:snapToGrid w:val="0"/>
        </w:rPr>
      </w:pPr>
    </w:p>
    <w:p w:rsidR="00DE62EB" w:rsidRPr="003B4E75" w:rsidRDefault="00DE62EB" w:rsidP="00DE62EB">
      <w:pPr>
        <w:pStyle w:val="Nadpis3"/>
        <w:keepLines w:val="0"/>
        <w:tabs>
          <w:tab w:val="left" w:pos="708"/>
        </w:tabs>
        <w:spacing w:before="0" w:after="120"/>
        <w:jc w:val="center"/>
        <w:rPr>
          <w:rFonts w:ascii="Times New Roman" w:eastAsia="Times New Roman" w:hAnsi="Times New Roman" w:cs="Times New Roman"/>
          <w:b/>
          <w:i/>
          <w:color w:val="auto"/>
          <w:szCs w:val="20"/>
        </w:rPr>
      </w:pPr>
      <w:r w:rsidRPr="003B4E75">
        <w:rPr>
          <w:rFonts w:ascii="Times New Roman" w:eastAsia="Times New Roman" w:hAnsi="Times New Roman" w:cs="Times New Roman"/>
          <w:b/>
          <w:i/>
          <w:color w:val="auto"/>
          <w:szCs w:val="20"/>
        </w:rPr>
        <w:t>Část I</w:t>
      </w:r>
    </w:p>
    <w:p w:rsidR="00DE62EB" w:rsidRPr="003B4E75" w:rsidRDefault="00DE62EB" w:rsidP="00DE62EB">
      <w:pPr>
        <w:pStyle w:val="Nadpis3"/>
        <w:keepLines w:val="0"/>
        <w:tabs>
          <w:tab w:val="left" w:pos="708"/>
        </w:tabs>
        <w:spacing w:before="0" w:after="120"/>
        <w:jc w:val="center"/>
        <w:rPr>
          <w:rFonts w:ascii="Times New Roman" w:eastAsia="Times New Roman" w:hAnsi="Times New Roman" w:cs="Times New Roman"/>
          <w:b/>
          <w:i/>
          <w:color w:val="auto"/>
          <w:szCs w:val="20"/>
        </w:rPr>
      </w:pPr>
      <w:r w:rsidRPr="003B4E75">
        <w:rPr>
          <w:rFonts w:ascii="Times New Roman" w:eastAsia="Times New Roman" w:hAnsi="Times New Roman" w:cs="Times New Roman"/>
          <w:b/>
          <w:i/>
          <w:color w:val="auto"/>
          <w:szCs w:val="20"/>
        </w:rPr>
        <w:t>Obecná ustanovení</w:t>
      </w:r>
    </w:p>
    <w:p w:rsidR="00DE62EB" w:rsidRDefault="00A54451" w:rsidP="00DE62EB">
      <w:pPr>
        <w:pStyle w:val="Zkladntext3"/>
        <w:widowControl/>
        <w:numPr>
          <w:ilvl w:val="0"/>
          <w:numId w:val="4"/>
        </w:numPr>
        <w:tabs>
          <w:tab w:val="clear" w:pos="708"/>
          <w:tab w:val="num" w:pos="426"/>
        </w:tabs>
        <w:spacing w:before="240" w:after="120"/>
        <w:ind w:left="426" w:hanging="426"/>
        <w:rPr>
          <w:bCs/>
        </w:rPr>
      </w:pPr>
      <w:r>
        <w:rPr>
          <w:bCs/>
        </w:rPr>
        <w:t>Tato s</w:t>
      </w:r>
      <w:r w:rsidR="00DE62EB">
        <w:rPr>
          <w:bCs/>
        </w:rPr>
        <w:t>pecifikace je nedílnou součástí Schvalovacího protokolu</w:t>
      </w:r>
      <w:r w:rsidR="00DE62EB">
        <w:rPr>
          <w:rStyle w:val="Znakapoznpodarou"/>
          <w:bCs/>
        </w:rPr>
        <w:footnoteReference w:id="1"/>
      </w:r>
      <w:r w:rsidR="00DE62EB">
        <w:rPr>
          <w:bCs/>
        </w:rPr>
        <w:t xml:space="preserve"> </w:t>
      </w:r>
      <w:proofErr w:type="gramStart"/>
      <w:r w:rsidR="00DE62EB">
        <w:rPr>
          <w:bCs/>
        </w:rPr>
        <w:t>č.j.</w:t>
      </w:r>
      <w:proofErr w:type="gramEnd"/>
      <w:r w:rsidR="00DE62EB">
        <w:rPr>
          <w:bCs/>
        </w:rPr>
        <w:t xml:space="preserve"> </w:t>
      </w:r>
      <w:r w:rsidR="00C474C3">
        <w:rPr>
          <w:bCs/>
        </w:rPr>
        <w:t>XX</w:t>
      </w:r>
      <w:r w:rsidR="00AC2BE1">
        <w:rPr>
          <w:bCs/>
        </w:rPr>
        <w:t>/</w:t>
      </w:r>
      <w:r w:rsidR="00C474C3">
        <w:rPr>
          <w:bCs/>
        </w:rPr>
        <w:t>XXXX</w:t>
      </w:r>
      <w:r w:rsidR="009747FA">
        <w:rPr>
          <w:bCs/>
        </w:rPr>
        <w:t>-430-PPR/</w:t>
      </w:r>
      <w:r w:rsidR="00C474C3">
        <w:rPr>
          <w:bCs/>
        </w:rPr>
        <w:t>X</w:t>
      </w:r>
      <w:r w:rsidR="00DA49C7">
        <w:rPr>
          <w:bCs/>
        </w:rPr>
        <w:t>X</w:t>
      </w:r>
      <w:r w:rsidR="00DE62EB">
        <w:rPr>
          <w:bCs/>
        </w:rPr>
        <w:t xml:space="preserve"> ze dne</w:t>
      </w:r>
      <w:r w:rsidR="00200534">
        <w:rPr>
          <w:bCs/>
        </w:rPr>
        <w:t xml:space="preserve"> </w:t>
      </w:r>
      <w:r w:rsidR="00DA49C7">
        <w:rPr>
          <w:bCs/>
        </w:rPr>
        <w:t>_______________</w:t>
      </w:r>
      <w:r w:rsidR="00C474C3">
        <w:rPr>
          <w:bCs/>
        </w:rPr>
        <w:t>____</w:t>
      </w:r>
      <w:r w:rsidR="00DE62EB" w:rsidRPr="00A642CC">
        <w:rPr>
          <w:bCs/>
        </w:rPr>
        <w:t xml:space="preserve"> </w:t>
      </w:r>
      <w:r w:rsidR="00DE62EB">
        <w:rPr>
          <w:bCs/>
        </w:rPr>
        <w:t>(dále „Schvalovací protokol“).</w:t>
      </w:r>
    </w:p>
    <w:p w:rsidR="009747FA" w:rsidRDefault="009747FA" w:rsidP="009747FA">
      <w:pPr>
        <w:pStyle w:val="Zkladntext3"/>
        <w:widowControl/>
        <w:tabs>
          <w:tab w:val="clear" w:pos="708"/>
          <w:tab w:val="num" w:pos="426"/>
        </w:tabs>
        <w:spacing w:before="240" w:after="120"/>
        <w:rPr>
          <w:bCs/>
        </w:rPr>
      </w:pPr>
    </w:p>
    <w:p w:rsidR="009747FA" w:rsidRPr="00A642CC" w:rsidRDefault="009747FA" w:rsidP="009747FA">
      <w:pPr>
        <w:pStyle w:val="Zkladntext3"/>
        <w:widowControl/>
        <w:tabs>
          <w:tab w:val="clear" w:pos="708"/>
          <w:tab w:val="num" w:pos="426"/>
        </w:tabs>
        <w:spacing w:before="240" w:after="120"/>
        <w:rPr>
          <w:bCs/>
        </w:rPr>
      </w:pPr>
    </w:p>
    <w:p w:rsidR="00DE62EB" w:rsidRDefault="00DE62EB" w:rsidP="009747FA">
      <w:pPr>
        <w:pStyle w:val="Zkladntext3"/>
        <w:widowControl/>
        <w:numPr>
          <w:ilvl w:val="0"/>
          <w:numId w:val="4"/>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w:t>
      </w:r>
      <w:r>
        <w:rPr>
          <w:bCs/>
        </w:rPr>
        <w:t xml:space="preserve">Doprava, prioritní osou 4 - Technická pomoc </w:t>
      </w:r>
      <w:r w:rsidRPr="00A642CC">
        <w:rPr>
          <w:bCs/>
        </w:rPr>
        <w:t>(dále „</w:t>
      </w:r>
      <w:r>
        <w:rPr>
          <w:bCs/>
        </w:rPr>
        <w:t xml:space="preserve">TP </w:t>
      </w:r>
      <w:r w:rsidRPr="00A642CC">
        <w:rPr>
          <w:bCs/>
        </w:rPr>
        <w:t>O</w:t>
      </w:r>
      <w:r>
        <w:rPr>
          <w:bCs/>
        </w:rPr>
        <w:t>PD</w:t>
      </w:r>
      <w:r w:rsidRPr="00A642CC">
        <w:rPr>
          <w:bCs/>
        </w:rPr>
        <w:t xml:space="preserve">“) pro </w:t>
      </w:r>
      <w:r>
        <w:rPr>
          <w:bCs/>
        </w:rPr>
        <w:t xml:space="preserve">programové </w:t>
      </w:r>
      <w:r w:rsidRPr="00A642CC">
        <w:rPr>
          <w:bCs/>
        </w:rPr>
        <w:t>období 20</w:t>
      </w:r>
      <w:r>
        <w:rPr>
          <w:bCs/>
        </w:rPr>
        <w:t>14</w:t>
      </w:r>
      <w:r w:rsidRPr="00A642CC">
        <w:rPr>
          <w:bCs/>
        </w:rPr>
        <w:t>–20</w:t>
      </w:r>
      <w:r>
        <w:rPr>
          <w:bCs/>
        </w:rPr>
        <w:t>20</w:t>
      </w:r>
      <w:r w:rsidRPr="00A642CC">
        <w:t xml:space="preserve">. </w:t>
      </w:r>
    </w:p>
    <w:p w:rsidR="00DE62EB" w:rsidRDefault="00DE62EB" w:rsidP="00DE62EB">
      <w:pPr>
        <w:jc w:val="both"/>
      </w:pPr>
    </w:p>
    <w:p w:rsidR="009747FA" w:rsidRDefault="009747FA" w:rsidP="00DE62EB">
      <w:pPr>
        <w:jc w:val="both"/>
      </w:pPr>
    </w:p>
    <w:p w:rsidR="00DE62EB" w:rsidRPr="003B4E75" w:rsidRDefault="00DE62EB" w:rsidP="00DE62EB">
      <w:pPr>
        <w:pStyle w:val="Nadpis3"/>
        <w:keepLines w:val="0"/>
        <w:tabs>
          <w:tab w:val="left" w:pos="708"/>
        </w:tabs>
        <w:spacing w:before="0" w:after="120"/>
        <w:jc w:val="center"/>
        <w:rPr>
          <w:rFonts w:ascii="Times New Roman" w:eastAsia="Times New Roman" w:hAnsi="Times New Roman" w:cs="Times New Roman"/>
          <w:b/>
          <w:i/>
          <w:color w:val="auto"/>
          <w:szCs w:val="20"/>
        </w:rPr>
      </w:pPr>
      <w:r w:rsidRPr="003B4E75">
        <w:rPr>
          <w:rFonts w:ascii="Times New Roman" w:eastAsia="Times New Roman" w:hAnsi="Times New Roman" w:cs="Times New Roman"/>
          <w:b/>
          <w:i/>
          <w:color w:val="auto"/>
          <w:szCs w:val="20"/>
        </w:rPr>
        <w:lastRenderedPageBreak/>
        <w:t>Část II</w:t>
      </w:r>
    </w:p>
    <w:p w:rsidR="00DE62EB" w:rsidRPr="00964654" w:rsidRDefault="00DE62EB" w:rsidP="00DE62EB">
      <w:pPr>
        <w:tabs>
          <w:tab w:val="left" w:pos="708"/>
        </w:tabs>
        <w:jc w:val="center"/>
        <w:rPr>
          <w:b/>
          <w:snapToGrid w:val="0"/>
        </w:rPr>
      </w:pPr>
      <w:r w:rsidRPr="00964654">
        <w:rPr>
          <w:b/>
          <w:i/>
          <w:snapToGrid w:val="0"/>
        </w:rPr>
        <w:t>Finanční rámec</w:t>
      </w:r>
    </w:p>
    <w:p w:rsidR="00DE62EB" w:rsidRPr="00D65C74" w:rsidRDefault="00DE62EB" w:rsidP="00DE62EB">
      <w:pPr>
        <w:numPr>
          <w:ilvl w:val="0"/>
          <w:numId w:val="3"/>
        </w:numPr>
        <w:ind w:right="180"/>
        <w:jc w:val="both"/>
        <w:rPr>
          <w:snapToGrid w:val="0"/>
        </w:rPr>
      </w:pPr>
      <w:r w:rsidRPr="00D65C74">
        <w:rPr>
          <w:snapToGrid w:val="0"/>
        </w:rPr>
        <w:t>Finanční rámec projektu:</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430"/>
      </w:tblGrid>
      <w:tr w:rsidR="00DE62EB" w:rsidRPr="00D65C74" w:rsidTr="00E416F5">
        <w:trPr>
          <w:jc w:val="center"/>
        </w:trPr>
        <w:tc>
          <w:tcPr>
            <w:tcW w:w="5220" w:type="dxa"/>
          </w:tcPr>
          <w:p w:rsidR="00DE62EB" w:rsidRPr="00D65C74" w:rsidRDefault="00DE62EB" w:rsidP="003B39F8">
            <w:pPr>
              <w:jc w:val="both"/>
              <w:rPr>
                <w:b/>
                <w:snapToGrid w:val="0"/>
              </w:rPr>
            </w:pPr>
            <w:r w:rsidRPr="00D65C74">
              <w:rPr>
                <w:b/>
                <w:snapToGrid w:val="0"/>
              </w:rPr>
              <w:t>Finanční rámec projektu</w:t>
            </w:r>
          </w:p>
        </w:tc>
        <w:tc>
          <w:tcPr>
            <w:tcW w:w="2430" w:type="dxa"/>
          </w:tcPr>
          <w:p w:rsidR="00DE62EB" w:rsidRPr="00D65C74" w:rsidRDefault="00DE62EB" w:rsidP="003B39F8">
            <w:pPr>
              <w:jc w:val="both"/>
              <w:rPr>
                <w:b/>
                <w:snapToGrid w:val="0"/>
              </w:rPr>
            </w:pPr>
            <w:r>
              <w:rPr>
                <w:b/>
                <w:snapToGrid w:val="0"/>
              </w:rPr>
              <w:t xml:space="preserve">Částka v </w:t>
            </w:r>
            <w:r w:rsidRPr="00D65C74">
              <w:rPr>
                <w:b/>
                <w:snapToGrid w:val="0"/>
              </w:rPr>
              <w:t>Kč</w:t>
            </w:r>
          </w:p>
        </w:tc>
      </w:tr>
      <w:tr w:rsidR="00AC2BE1" w:rsidRPr="00D65C74" w:rsidTr="00E416F5">
        <w:trPr>
          <w:trHeight w:val="323"/>
          <w:jc w:val="center"/>
        </w:trPr>
        <w:tc>
          <w:tcPr>
            <w:tcW w:w="5220" w:type="dxa"/>
          </w:tcPr>
          <w:p w:rsidR="00AC2BE1" w:rsidRPr="00D65C74" w:rsidRDefault="00AC2BE1" w:rsidP="00AC2BE1">
            <w:pPr>
              <w:ind w:firstLine="238"/>
              <w:jc w:val="both"/>
              <w:rPr>
                <w:snapToGrid w:val="0"/>
              </w:rPr>
            </w:pPr>
            <w:r w:rsidRPr="00D65C74">
              <w:rPr>
                <w:snapToGrid w:val="0"/>
              </w:rPr>
              <w:t xml:space="preserve">Celkové </w:t>
            </w:r>
            <w:r>
              <w:rPr>
                <w:snapToGrid w:val="0"/>
              </w:rPr>
              <w:t xml:space="preserve">veřejné </w:t>
            </w:r>
            <w:r w:rsidRPr="00D65C74">
              <w:rPr>
                <w:snapToGrid w:val="0"/>
              </w:rPr>
              <w:t>výdaje projektu</w:t>
            </w:r>
          </w:p>
        </w:tc>
        <w:tc>
          <w:tcPr>
            <w:tcW w:w="2430" w:type="dxa"/>
          </w:tcPr>
          <w:p w:rsidR="00AC2BE1" w:rsidRPr="00D65C74" w:rsidRDefault="00AC2BE1" w:rsidP="00AC2BE1">
            <w:pPr>
              <w:jc w:val="right"/>
              <w:rPr>
                <w:snapToGrid w:val="0"/>
              </w:rPr>
            </w:pPr>
          </w:p>
        </w:tc>
      </w:tr>
      <w:tr w:rsidR="00AC2BE1" w:rsidRPr="00D65C74" w:rsidTr="00E416F5">
        <w:trPr>
          <w:jc w:val="center"/>
        </w:trPr>
        <w:tc>
          <w:tcPr>
            <w:tcW w:w="5220" w:type="dxa"/>
          </w:tcPr>
          <w:p w:rsidR="00AC2BE1" w:rsidRPr="00D65C74" w:rsidRDefault="00AC2BE1" w:rsidP="00AC2BE1">
            <w:pPr>
              <w:ind w:firstLine="97"/>
              <w:jc w:val="both"/>
              <w:rPr>
                <w:snapToGrid w:val="0"/>
              </w:rPr>
            </w:pPr>
            <w:r w:rsidRPr="00D65C74">
              <w:rPr>
                <w:b/>
                <w:snapToGrid w:val="0"/>
              </w:rPr>
              <w:t>-</w:t>
            </w:r>
            <w:r w:rsidRPr="00D65C74">
              <w:rPr>
                <w:snapToGrid w:val="0"/>
              </w:rPr>
              <w:t xml:space="preserve"> Celkové nezpůsobilé </w:t>
            </w:r>
            <w:r>
              <w:rPr>
                <w:snapToGrid w:val="0"/>
              </w:rPr>
              <w:t xml:space="preserve">veřejné </w:t>
            </w:r>
            <w:r w:rsidRPr="00D65C74">
              <w:rPr>
                <w:snapToGrid w:val="0"/>
              </w:rPr>
              <w:t xml:space="preserve">výdaje projektu </w:t>
            </w:r>
          </w:p>
        </w:tc>
        <w:tc>
          <w:tcPr>
            <w:tcW w:w="2430" w:type="dxa"/>
          </w:tcPr>
          <w:p w:rsidR="00AC2BE1" w:rsidRPr="00D65C74" w:rsidRDefault="00AC2BE1" w:rsidP="00AC2BE1">
            <w:pPr>
              <w:jc w:val="right"/>
              <w:rPr>
                <w:snapToGrid w:val="0"/>
              </w:rPr>
            </w:pPr>
          </w:p>
        </w:tc>
      </w:tr>
      <w:tr w:rsidR="00AC2BE1" w:rsidRPr="00D65C74" w:rsidTr="00E416F5">
        <w:trPr>
          <w:jc w:val="center"/>
        </w:trPr>
        <w:tc>
          <w:tcPr>
            <w:tcW w:w="5220" w:type="dxa"/>
          </w:tcPr>
          <w:p w:rsidR="00AC2BE1" w:rsidRPr="00D65C74" w:rsidRDefault="00AC2BE1" w:rsidP="00AC2BE1">
            <w:pPr>
              <w:jc w:val="both"/>
              <w:rPr>
                <w:snapToGrid w:val="0"/>
              </w:rPr>
            </w:pPr>
            <w:r w:rsidRPr="00D65C74">
              <w:rPr>
                <w:snapToGrid w:val="0"/>
              </w:rPr>
              <w:t xml:space="preserve">= Celkové způsobilé </w:t>
            </w:r>
            <w:r>
              <w:rPr>
                <w:snapToGrid w:val="0"/>
              </w:rPr>
              <w:t xml:space="preserve">veřejné </w:t>
            </w:r>
            <w:r w:rsidRPr="00D65C74">
              <w:rPr>
                <w:snapToGrid w:val="0"/>
              </w:rPr>
              <w:t>výdaje</w:t>
            </w:r>
            <w:r>
              <w:rPr>
                <w:snapToGrid w:val="0"/>
              </w:rPr>
              <w:t xml:space="preserve"> projektu</w:t>
            </w:r>
            <w:r w:rsidRPr="00D65C74">
              <w:rPr>
                <w:rStyle w:val="Znakapoznpodarou"/>
                <w:snapToGrid w:val="0"/>
              </w:rPr>
              <w:footnoteReference w:id="2"/>
            </w:r>
          </w:p>
        </w:tc>
        <w:tc>
          <w:tcPr>
            <w:tcW w:w="2430" w:type="dxa"/>
          </w:tcPr>
          <w:p w:rsidR="00AC2BE1" w:rsidRPr="00D65C74" w:rsidRDefault="00AC2BE1" w:rsidP="00AC2BE1">
            <w:pPr>
              <w:jc w:val="right"/>
              <w:rPr>
                <w:snapToGrid w:val="0"/>
              </w:rPr>
            </w:pPr>
          </w:p>
        </w:tc>
      </w:tr>
    </w:tbl>
    <w:p w:rsidR="00DE62EB" w:rsidRDefault="00DE62EB" w:rsidP="00DE62EB">
      <w:pPr>
        <w:pStyle w:val="Zkladntext"/>
        <w:tabs>
          <w:tab w:val="left" w:pos="1710"/>
        </w:tabs>
        <w:spacing w:after="120"/>
        <w:jc w:val="both"/>
      </w:pPr>
    </w:p>
    <w:p w:rsidR="00FB2EC6" w:rsidRPr="00D65C74" w:rsidRDefault="00FB2EC6" w:rsidP="00DE62EB">
      <w:pPr>
        <w:pStyle w:val="Zkladntext"/>
        <w:tabs>
          <w:tab w:val="left" w:pos="1710"/>
        </w:tabs>
        <w:spacing w:after="120"/>
        <w:jc w:val="both"/>
      </w:pPr>
    </w:p>
    <w:p w:rsidR="00DE62EB" w:rsidRPr="00D65C74" w:rsidRDefault="00DE62EB" w:rsidP="00DE62EB">
      <w:pPr>
        <w:numPr>
          <w:ilvl w:val="0"/>
          <w:numId w:val="3"/>
        </w:numPr>
        <w:ind w:right="180"/>
        <w:jc w:val="both"/>
        <w:rPr>
          <w:snapToGrid w:val="0"/>
        </w:rPr>
      </w:pPr>
      <w:r>
        <w:rPr>
          <w:snapToGrid w:val="0"/>
        </w:rPr>
        <w:t>Výše peněžních prostředků a z</w:t>
      </w:r>
      <w:r w:rsidRPr="00D65C74">
        <w:rPr>
          <w:snapToGrid w:val="0"/>
        </w:rPr>
        <w:t>droj</w:t>
      </w:r>
      <w:r>
        <w:rPr>
          <w:snapToGrid w:val="0"/>
        </w:rPr>
        <w:t>ů</w:t>
      </w:r>
      <w:r w:rsidRPr="00D65C74">
        <w:rPr>
          <w:snapToGrid w:val="0"/>
        </w:rPr>
        <w:t xml:space="preserve"> spolufinancování způsobilých výdajů projektu:</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2020"/>
        <w:gridCol w:w="2340"/>
      </w:tblGrid>
      <w:tr w:rsidR="00DE62EB" w:rsidRPr="00D65C74" w:rsidTr="00E416F5">
        <w:trPr>
          <w:jc w:val="center"/>
        </w:trPr>
        <w:tc>
          <w:tcPr>
            <w:tcW w:w="4673" w:type="dxa"/>
          </w:tcPr>
          <w:p w:rsidR="00E416F5" w:rsidRDefault="00DE62EB" w:rsidP="00E416F5">
            <w:pPr>
              <w:rPr>
                <w:b/>
                <w:snapToGrid w:val="0"/>
              </w:rPr>
            </w:pPr>
            <w:r>
              <w:rPr>
                <w:b/>
                <w:snapToGrid w:val="0"/>
              </w:rPr>
              <w:t>Druh</w:t>
            </w:r>
            <w:r w:rsidRPr="00D65C74">
              <w:rPr>
                <w:b/>
                <w:snapToGrid w:val="0"/>
              </w:rPr>
              <w:t xml:space="preserve"> </w:t>
            </w:r>
            <w:r>
              <w:rPr>
                <w:b/>
                <w:snapToGrid w:val="0"/>
              </w:rPr>
              <w:t>peněžních prostředků/</w:t>
            </w:r>
          </w:p>
          <w:p w:rsidR="00DE62EB" w:rsidRPr="00D65C74" w:rsidRDefault="00DE62EB" w:rsidP="00E416F5">
            <w:pPr>
              <w:rPr>
                <w:b/>
                <w:snapToGrid w:val="0"/>
              </w:rPr>
            </w:pPr>
            <w:r w:rsidRPr="00D65C74">
              <w:rPr>
                <w:b/>
                <w:snapToGrid w:val="0"/>
              </w:rPr>
              <w:t>zdroje spolufinancování</w:t>
            </w:r>
          </w:p>
        </w:tc>
        <w:tc>
          <w:tcPr>
            <w:tcW w:w="2020" w:type="dxa"/>
          </w:tcPr>
          <w:p w:rsidR="00DE62EB" w:rsidRPr="00D65C74" w:rsidRDefault="00DE62EB" w:rsidP="003B39F8">
            <w:pPr>
              <w:jc w:val="both"/>
              <w:rPr>
                <w:b/>
                <w:snapToGrid w:val="0"/>
              </w:rPr>
            </w:pPr>
            <w:r>
              <w:rPr>
                <w:b/>
                <w:snapToGrid w:val="0"/>
              </w:rPr>
              <w:t>Částka v</w:t>
            </w:r>
            <w:r w:rsidRPr="00D65C74">
              <w:rPr>
                <w:b/>
                <w:snapToGrid w:val="0"/>
              </w:rPr>
              <w:t xml:space="preserve"> Kč</w:t>
            </w:r>
          </w:p>
        </w:tc>
        <w:tc>
          <w:tcPr>
            <w:tcW w:w="2340" w:type="dxa"/>
          </w:tcPr>
          <w:p w:rsidR="00DE62EB" w:rsidRPr="00D65C74" w:rsidRDefault="00DE62EB" w:rsidP="003B39F8">
            <w:pPr>
              <w:jc w:val="both"/>
              <w:rPr>
                <w:b/>
                <w:snapToGrid w:val="0"/>
              </w:rPr>
            </w:pPr>
            <w:r w:rsidRPr="00D65C74">
              <w:rPr>
                <w:b/>
                <w:snapToGrid w:val="0"/>
              </w:rPr>
              <w:t>Podíl na celkových způsobilých výdajích</w:t>
            </w:r>
            <w:r>
              <w:rPr>
                <w:b/>
                <w:snapToGrid w:val="0"/>
              </w:rPr>
              <w:t xml:space="preserve"> projektu</w:t>
            </w:r>
            <w:r w:rsidRPr="00D65C74">
              <w:rPr>
                <w:b/>
                <w:snapToGrid w:val="0"/>
              </w:rPr>
              <w:t xml:space="preserve"> v %</w:t>
            </w:r>
          </w:p>
        </w:tc>
      </w:tr>
      <w:tr w:rsidR="00AC2BE1" w:rsidRPr="00D65C74" w:rsidTr="00E416F5">
        <w:trPr>
          <w:jc w:val="center"/>
        </w:trPr>
        <w:tc>
          <w:tcPr>
            <w:tcW w:w="4673" w:type="dxa"/>
          </w:tcPr>
          <w:p w:rsidR="00AC2BE1" w:rsidRPr="00D65C74" w:rsidRDefault="00AC2BE1" w:rsidP="00AC2BE1">
            <w:pPr>
              <w:jc w:val="both"/>
              <w:rPr>
                <w:snapToGrid w:val="0"/>
              </w:rPr>
            </w:pPr>
            <w:r>
              <w:rPr>
                <w:snapToGrid w:val="0"/>
              </w:rPr>
              <w:t>Peněžní p</w:t>
            </w:r>
            <w:r w:rsidRPr="00D65C74">
              <w:rPr>
                <w:snapToGrid w:val="0"/>
              </w:rPr>
              <w:t xml:space="preserve">rostředky z </w:t>
            </w:r>
            <w:r>
              <w:rPr>
                <w:snapToGrid w:val="0"/>
              </w:rPr>
              <w:t>Fondu soudržnosti</w:t>
            </w:r>
            <w:r w:rsidRPr="00D65C74">
              <w:rPr>
                <w:rStyle w:val="Znakapoznpodarou"/>
                <w:snapToGrid w:val="0"/>
              </w:rPr>
              <w:footnoteReference w:id="3"/>
            </w:r>
          </w:p>
        </w:tc>
        <w:tc>
          <w:tcPr>
            <w:tcW w:w="2020" w:type="dxa"/>
          </w:tcPr>
          <w:p w:rsidR="00AC2BE1" w:rsidRPr="00D65C74" w:rsidRDefault="00AC2BE1" w:rsidP="00AC2BE1">
            <w:pPr>
              <w:jc w:val="right"/>
              <w:rPr>
                <w:snapToGrid w:val="0"/>
              </w:rPr>
            </w:pPr>
          </w:p>
        </w:tc>
        <w:tc>
          <w:tcPr>
            <w:tcW w:w="2340" w:type="dxa"/>
          </w:tcPr>
          <w:p w:rsidR="00AC2BE1" w:rsidRPr="00D65C74" w:rsidRDefault="00AC2BE1" w:rsidP="00AC2BE1">
            <w:pPr>
              <w:jc w:val="center"/>
              <w:rPr>
                <w:snapToGrid w:val="0"/>
              </w:rPr>
            </w:pPr>
          </w:p>
        </w:tc>
      </w:tr>
      <w:tr w:rsidR="00AC2BE1" w:rsidRPr="00D65C74" w:rsidTr="00E416F5">
        <w:trPr>
          <w:jc w:val="center"/>
        </w:trPr>
        <w:tc>
          <w:tcPr>
            <w:tcW w:w="4673" w:type="dxa"/>
          </w:tcPr>
          <w:p w:rsidR="00AC2BE1" w:rsidRPr="00D65C74" w:rsidRDefault="00AC2BE1" w:rsidP="00AC2BE1">
            <w:pPr>
              <w:jc w:val="both"/>
              <w:rPr>
                <w:snapToGrid w:val="0"/>
              </w:rPr>
            </w:pPr>
            <w:r>
              <w:rPr>
                <w:snapToGrid w:val="0"/>
              </w:rPr>
              <w:t>Peněžní p</w:t>
            </w:r>
            <w:r w:rsidRPr="00D65C74">
              <w:rPr>
                <w:snapToGrid w:val="0"/>
              </w:rPr>
              <w:t>rostředky ze státního rozpočtu</w:t>
            </w:r>
            <w:r w:rsidRPr="00D65C74">
              <w:rPr>
                <w:rStyle w:val="Znakapoznpodarou"/>
                <w:snapToGrid w:val="0"/>
              </w:rPr>
              <w:footnoteReference w:id="4"/>
            </w:r>
            <w:r>
              <w:rPr>
                <w:snapToGrid w:val="0"/>
              </w:rPr>
              <w:t xml:space="preserve"> / jiných zdrojů</w:t>
            </w:r>
            <w:r>
              <w:rPr>
                <w:rStyle w:val="Znakapoznpodarou"/>
                <w:snapToGrid w:val="0"/>
              </w:rPr>
              <w:footnoteReference w:id="5"/>
            </w:r>
          </w:p>
        </w:tc>
        <w:tc>
          <w:tcPr>
            <w:tcW w:w="2020" w:type="dxa"/>
          </w:tcPr>
          <w:p w:rsidR="00AC2BE1" w:rsidRPr="00D65C74" w:rsidRDefault="00AC2BE1" w:rsidP="00AC2BE1">
            <w:pPr>
              <w:jc w:val="right"/>
              <w:rPr>
                <w:snapToGrid w:val="0"/>
              </w:rPr>
            </w:pPr>
          </w:p>
        </w:tc>
        <w:tc>
          <w:tcPr>
            <w:tcW w:w="2340" w:type="dxa"/>
          </w:tcPr>
          <w:p w:rsidR="00AC2BE1" w:rsidRPr="00D65C74" w:rsidRDefault="00AC2BE1" w:rsidP="00AC2BE1">
            <w:pPr>
              <w:jc w:val="center"/>
              <w:rPr>
                <w:snapToGrid w:val="0"/>
              </w:rPr>
            </w:pPr>
          </w:p>
        </w:tc>
      </w:tr>
      <w:tr w:rsidR="00AC2BE1" w:rsidRPr="00D65C74" w:rsidTr="00E416F5">
        <w:trPr>
          <w:jc w:val="center"/>
        </w:trPr>
        <w:tc>
          <w:tcPr>
            <w:tcW w:w="4673" w:type="dxa"/>
          </w:tcPr>
          <w:p w:rsidR="00AC2BE1" w:rsidRPr="00D65C74" w:rsidRDefault="00AC2BE1" w:rsidP="00AC2BE1">
            <w:pPr>
              <w:jc w:val="both"/>
              <w:rPr>
                <w:snapToGrid w:val="0"/>
              </w:rPr>
            </w:pPr>
            <w:r w:rsidRPr="00D65C74">
              <w:rPr>
                <w:snapToGrid w:val="0"/>
              </w:rPr>
              <w:t>Celkové způsobilé výdaje</w:t>
            </w:r>
          </w:p>
        </w:tc>
        <w:tc>
          <w:tcPr>
            <w:tcW w:w="2020" w:type="dxa"/>
          </w:tcPr>
          <w:p w:rsidR="00AC2BE1" w:rsidRPr="00D65C74" w:rsidRDefault="00AC2BE1" w:rsidP="00AC2BE1">
            <w:pPr>
              <w:jc w:val="right"/>
              <w:rPr>
                <w:snapToGrid w:val="0"/>
              </w:rPr>
            </w:pPr>
          </w:p>
        </w:tc>
        <w:tc>
          <w:tcPr>
            <w:tcW w:w="2340" w:type="dxa"/>
          </w:tcPr>
          <w:p w:rsidR="00AC2BE1" w:rsidRPr="00D65C74" w:rsidRDefault="00AC2BE1" w:rsidP="00AC2BE1">
            <w:pPr>
              <w:jc w:val="center"/>
              <w:rPr>
                <w:snapToGrid w:val="0"/>
              </w:rPr>
            </w:pPr>
          </w:p>
        </w:tc>
      </w:tr>
    </w:tbl>
    <w:p w:rsidR="00DE62EB" w:rsidRDefault="00DE62EB" w:rsidP="00DE62EB">
      <w:pPr>
        <w:jc w:val="both"/>
      </w:pPr>
    </w:p>
    <w:p w:rsidR="00DE62EB" w:rsidRDefault="00DE62EB" w:rsidP="00DE62EB">
      <w:pPr>
        <w:jc w:val="both"/>
      </w:pPr>
    </w:p>
    <w:p w:rsidR="00DE62EB" w:rsidRDefault="00DE62EB" w:rsidP="00DE62EB">
      <w:pPr>
        <w:pStyle w:val="Zkladntext"/>
        <w:numPr>
          <w:ilvl w:val="0"/>
          <w:numId w:val="3"/>
        </w:numPr>
        <w:tabs>
          <w:tab w:val="left" w:pos="1710"/>
        </w:tabs>
        <w:spacing w:line="60" w:lineRule="atLeast"/>
        <w:jc w:val="both"/>
        <w:rPr>
          <w:szCs w:val="24"/>
        </w:rPr>
      </w:pPr>
      <w:r>
        <w:rPr>
          <w:snapToGrid w:val="0"/>
        </w:rPr>
        <w:t xml:space="preserve">Výše celkových způsobilých výdajů </w:t>
      </w:r>
      <w:r w:rsidRPr="00BF6198">
        <w:rPr>
          <w:snapToGrid w:val="0"/>
        </w:rPr>
        <w:t>uvede</w:t>
      </w:r>
      <w:r>
        <w:rPr>
          <w:snapToGrid w:val="0"/>
        </w:rPr>
        <w:t>ná</w:t>
      </w:r>
      <w:r w:rsidRPr="00BF6198">
        <w:rPr>
          <w:snapToGrid w:val="0"/>
        </w:rPr>
        <w:t xml:space="preserve"> v části II, bod 2. </w:t>
      </w:r>
      <w:r>
        <w:rPr>
          <w:snapToGrid w:val="0"/>
        </w:rPr>
        <w:t xml:space="preserve">Specifikace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9747FA" w:rsidRDefault="009747FA"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66153E" w:rsidRDefault="0066153E" w:rsidP="00200534">
      <w:pPr>
        <w:pStyle w:val="Zkladntext"/>
        <w:tabs>
          <w:tab w:val="left" w:pos="1710"/>
        </w:tabs>
        <w:spacing w:line="60" w:lineRule="atLeast"/>
        <w:jc w:val="both"/>
        <w:rPr>
          <w:szCs w:val="24"/>
        </w:rPr>
      </w:pPr>
    </w:p>
    <w:p w:rsidR="009747FA" w:rsidRDefault="009747FA" w:rsidP="00DE62EB">
      <w:pPr>
        <w:pStyle w:val="Zkladntext"/>
        <w:tabs>
          <w:tab w:val="left" w:pos="1710"/>
        </w:tabs>
        <w:spacing w:line="60" w:lineRule="atLeast"/>
        <w:ind w:left="357"/>
        <w:jc w:val="both"/>
        <w:rPr>
          <w:szCs w:val="24"/>
        </w:rPr>
      </w:pPr>
    </w:p>
    <w:p w:rsidR="00DE62EB" w:rsidRPr="001D7C0F" w:rsidRDefault="00DE62EB" w:rsidP="00DE62EB">
      <w:pPr>
        <w:pStyle w:val="Zkladntext"/>
        <w:numPr>
          <w:ilvl w:val="0"/>
          <w:numId w:val="3"/>
        </w:numPr>
        <w:tabs>
          <w:tab w:val="left" w:pos="1710"/>
        </w:tabs>
        <w:spacing w:line="60" w:lineRule="atLeast"/>
        <w:jc w:val="both"/>
        <w:rPr>
          <w:szCs w:val="24"/>
        </w:rPr>
      </w:pPr>
      <w:r w:rsidRPr="001D7C0F">
        <w:rPr>
          <w:szCs w:val="24"/>
        </w:rPr>
        <w:lastRenderedPageBreak/>
        <w:t>Indikátory projektu:</w:t>
      </w:r>
    </w:p>
    <w:p w:rsidR="00DE62EB" w:rsidRPr="001D7C0F" w:rsidRDefault="00DE62EB" w:rsidP="00DE62EB">
      <w:pPr>
        <w:pStyle w:val="Zkladntext"/>
        <w:tabs>
          <w:tab w:val="left" w:pos="1710"/>
        </w:tabs>
        <w:spacing w:line="60" w:lineRule="atLeast"/>
        <w:ind w:left="357"/>
        <w:jc w:val="both"/>
        <w:rPr>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417"/>
        <w:gridCol w:w="1134"/>
        <w:gridCol w:w="993"/>
        <w:gridCol w:w="1559"/>
      </w:tblGrid>
      <w:tr w:rsidR="00DE62EB" w:rsidRPr="00E67821" w:rsidTr="0066153E">
        <w:trPr>
          <w:trHeight w:val="379"/>
          <w:jc w:val="center"/>
        </w:trPr>
        <w:tc>
          <w:tcPr>
            <w:tcW w:w="3114" w:type="dxa"/>
          </w:tcPr>
          <w:p w:rsidR="00DE62EB" w:rsidRPr="001D7C0F" w:rsidRDefault="00DE62EB" w:rsidP="003B39F8">
            <w:pPr>
              <w:jc w:val="both"/>
              <w:rPr>
                <w:b/>
                <w:snapToGrid w:val="0"/>
              </w:rPr>
            </w:pPr>
            <w:r w:rsidRPr="001D7C0F">
              <w:rPr>
                <w:b/>
                <w:snapToGrid w:val="0"/>
              </w:rPr>
              <w:t>Název indikátoru</w:t>
            </w:r>
          </w:p>
        </w:tc>
        <w:tc>
          <w:tcPr>
            <w:tcW w:w="1417" w:type="dxa"/>
          </w:tcPr>
          <w:p w:rsidR="00DE62EB" w:rsidRPr="001D7C0F" w:rsidRDefault="00DE62EB" w:rsidP="00131396">
            <w:pPr>
              <w:jc w:val="center"/>
              <w:rPr>
                <w:b/>
                <w:snapToGrid w:val="0"/>
              </w:rPr>
            </w:pPr>
            <w:r w:rsidRPr="001D7C0F">
              <w:rPr>
                <w:b/>
                <w:snapToGrid w:val="0"/>
              </w:rPr>
              <w:t>Měrná jednotka</w:t>
            </w:r>
          </w:p>
        </w:tc>
        <w:tc>
          <w:tcPr>
            <w:tcW w:w="1134" w:type="dxa"/>
          </w:tcPr>
          <w:p w:rsidR="00DE62EB" w:rsidRPr="001D7C0F" w:rsidRDefault="00DE62EB" w:rsidP="00131396">
            <w:pPr>
              <w:jc w:val="center"/>
              <w:rPr>
                <w:b/>
                <w:snapToGrid w:val="0"/>
              </w:rPr>
            </w:pPr>
            <w:r w:rsidRPr="001D7C0F">
              <w:rPr>
                <w:b/>
                <w:snapToGrid w:val="0"/>
              </w:rPr>
              <w:t>Výchozí hodnota</w:t>
            </w:r>
          </w:p>
        </w:tc>
        <w:tc>
          <w:tcPr>
            <w:tcW w:w="993" w:type="dxa"/>
          </w:tcPr>
          <w:p w:rsidR="00DE62EB" w:rsidRPr="001D7C0F" w:rsidRDefault="00DE62EB" w:rsidP="00131396">
            <w:pPr>
              <w:jc w:val="center"/>
              <w:rPr>
                <w:b/>
                <w:snapToGrid w:val="0"/>
              </w:rPr>
            </w:pPr>
            <w:r w:rsidRPr="001D7C0F">
              <w:rPr>
                <w:b/>
                <w:snapToGrid w:val="0"/>
              </w:rPr>
              <w:t>Cílová hodnota</w:t>
            </w:r>
          </w:p>
        </w:tc>
        <w:tc>
          <w:tcPr>
            <w:tcW w:w="1559" w:type="dxa"/>
          </w:tcPr>
          <w:p w:rsidR="00DE62EB" w:rsidRPr="001D7C0F" w:rsidRDefault="00DE62EB" w:rsidP="00131396">
            <w:pPr>
              <w:jc w:val="center"/>
              <w:rPr>
                <w:b/>
                <w:snapToGrid w:val="0"/>
              </w:rPr>
            </w:pPr>
            <w:r w:rsidRPr="001D7C0F">
              <w:rPr>
                <w:b/>
                <w:snapToGrid w:val="0"/>
              </w:rPr>
              <w:t>Datum cílové hodnoty</w:t>
            </w:r>
          </w:p>
        </w:tc>
      </w:tr>
      <w:tr w:rsidR="00AC2BE1" w:rsidRPr="00E67821" w:rsidTr="0066153E">
        <w:trPr>
          <w:trHeight w:val="193"/>
          <w:jc w:val="center"/>
        </w:trPr>
        <w:tc>
          <w:tcPr>
            <w:tcW w:w="3114" w:type="dxa"/>
            <w:shd w:val="clear" w:color="auto" w:fill="auto"/>
          </w:tcPr>
          <w:p w:rsidR="00AC2BE1" w:rsidRPr="00E67821" w:rsidRDefault="00AC2BE1" w:rsidP="00AC2BE1">
            <w:pPr>
              <w:rPr>
                <w:snapToGrid w:val="0"/>
                <w:highlight w:val="yellow"/>
              </w:rPr>
            </w:pPr>
          </w:p>
        </w:tc>
        <w:tc>
          <w:tcPr>
            <w:tcW w:w="1417" w:type="dxa"/>
          </w:tcPr>
          <w:p w:rsidR="00AC2BE1" w:rsidRPr="00E67821" w:rsidRDefault="00AC2BE1" w:rsidP="00AC2BE1">
            <w:pPr>
              <w:jc w:val="center"/>
              <w:rPr>
                <w:snapToGrid w:val="0"/>
                <w:highlight w:val="yellow"/>
              </w:rPr>
            </w:pPr>
          </w:p>
        </w:tc>
        <w:tc>
          <w:tcPr>
            <w:tcW w:w="1134" w:type="dxa"/>
          </w:tcPr>
          <w:p w:rsidR="00AC2BE1" w:rsidRPr="00E67821" w:rsidRDefault="00AC2BE1" w:rsidP="00AC2BE1">
            <w:pPr>
              <w:jc w:val="center"/>
              <w:rPr>
                <w:snapToGrid w:val="0"/>
                <w:highlight w:val="yellow"/>
              </w:rPr>
            </w:pPr>
          </w:p>
        </w:tc>
        <w:tc>
          <w:tcPr>
            <w:tcW w:w="993" w:type="dxa"/>
          </w:tcPr>
          <w:p w:rsidR="00AC2BE1" w:rsidRPr="00E67821" w:rsidRDefault="00AC2BE1" w:rsidP="00AC2BE1">
            <w:pPr>
              <w:jc w:val="center"/>
              <w:rPr>
                <w:snapToGrid w:val="0"/>
                <w:highlight w:val="yellow"/>
              </w:rPr>
            </w:pPr>
          </w:p>
        </w:tc>
        <w:tc>
          <w:tcPr>
            <w:tcW w:w="1559" w:type="dxa"/>
          </w:tcPr>
          <w:p w:rsidR="00AC2BE1" w:rsidRPr="00E67821" w:rsidRDefault="00AC2BE1" w:rsidP="00AC2BE1">
            <w:pPr>
              <w:jc w:val="center"/>
              <w:rPr>
                <w:snapToGrid w:val="0"/>
                <w:highlight w:val="yellow"/>
              </w:rPr>
            </w:pPr>
          </w:p>
        </w:tc>
      </w:tr>
    </w:tbl>
    <w:p w:rsidR="00DE62EB" w:rsidRPr="00E67821" w:rsidRDefault="00DE62EB" w:rsidP="00DE62EB">
      <w:pPr>
        <w:ind w:left="357" w:right="180"/>
        <w:jc w:val="both"/>
        <w:rPr>
          <w:snapToGrid w:val="0"/>
          <w:highlight w:val="yellow"/>
        </w:rPr>
      </w:pPr>
    </w:p>
    <w:p w:rsidR="00DE62EB" w:rsidRDefault="00DE62EB" w:rsidP="00DE62EB">
      <w:pPr>
        <w:ind w:left="357" w:right="180"/>
        <w:jc w:val="both"/>
      </w:pPr>
      <w:r w:rsidRPr="00B810DB">
        <w:t>Příjemce je dále povinen dodržet parametry</w:t>
      </w:r>
      <w:r>
        <w:t xml:space="preserve"> akce, jsou - </w:t>
      </w:r>
      <w:proofErr w:type="spellStart"/>
      <w:r>
        <w:t>li</w:t>
      </w:r>
      <w:proofErr w:type="spellEnd"/>
      <w:r>
        <w:t xml:space="preserve"> </w:t>
      </w:r>
      <w:r w:rsidRPr="00B810DB">
        <w:t>stanovené v  R</w:t>
      </w:r>
      <w:r>
        <w:t>ozhodnutí o poskytnutí dotace</w:t>
      </w:r>
      <w:r>
        <w:rPr>
          <w:rStyle w:val="Znakapoznpodarou"/>
        </w:rPr>
        <w:footnoteReference w:id="6"/>
      </w:r>
      <w:r>
        <w:t xml:space="preserve">. </w:t>
      </w:r>
    </w:p>
    <w:p w:rsidR="00DE62EB" w:rsidRDefault="00DE62EB" w:rsidP="00DE62EB">
      <w:pPr>
        <w:spacing w:after="160" w:line="259" w:lineRule="auto"/>
      </w:pPr>
    </w:p>
    <w:p w:rsidR="00DE62EB" w:rsidRPr="00B810DB" w:rsidRDefault="00DE62EB" w:rsidP="00DE62EB">
      <w:pPr>
        <w:ind w:left="357" w:right="180"/>
        <w:jc w:val="both"/>
      </w:pPr>
    </w:p>
    <w:p w:rsidR="00DE62EB" w:rsidRPr="00964654" w:rsidRDefault="00DE62EB" w:rsidP="00DE62EB">
      <w:pPr>
        <w:tabs>
          <w:tab w:val="left" w:pos="708"/>
        </w:tabs>
        <w:jc w:val="center"/>
        <w:rPr>
          <w:b/>
          <w:bCs/>
          <w:i/>
          <w:snapToGrid w:val="0"/>
        </w:rPr>
      </w:pPr>
      <w:r w:rsidRPr="00964654">
        <w:rPr>
          <w:b/>
          <w:bCs/>
          <w:i/>
          <w:snapToGrid w:val="0"/>
        </w:rPr>
        <w:t>Část III</w:t>
      </w:r>
    </w:p>
    <w:p w:rsidR="00DE62EB" w:rsidRPr="003B4E75" w:rsidRDefault="00DE62EB" w:rsidP="00DE62EB">
      <w:pPr>
        <w:tabs>
          <w:tab w:val="left" w:pos="708"/>
        </w:tabs>
        <w:jc w:val="both"/>
        <w:rPr>
          <w:b/>
          <w:bCs/>
          <w:i/>
          <w:snapToGrid w:val="0"/>
        </w:rPr>
      </w:pPr>
      <w:r w:rsidRPr="003B4E75">
        <w:rPr>
          <w:b/>
          <w:bCs/>
          <w:i/>
          <w:snapToGrid w:val="0"/>
        </w:rPr>
        <w:t xml:space="preserve">Podmínky, na které je </w:t>
      </w:r>
      <w:r w:rsidR="00382C0D">
        <w:rPr>
          <w:b/>
          <w:bCs/>
          <w:i/>
          <w:snapToGrid w:val="0"/>
        </w:rPr>
        <w:t>čerpání</w:t>
      </w:r>
      <w:r w:rsidR="00382C0D" w:rsidRPr="003B4E75">
        <w:rPr>
          <w:b/>
          <w:bCs/>
          <w:i/>
          <w:snapToGrid w:val="0"/>
        </w:rPr>
        <w:t xml:space="preserve"> </w:t>
      </w:r>
      <w:r>
        <w:rPr>
          <w:b/>
          <w:bCs/>
          <w:i/>
          <w:snapToGrid w:val="0"/>
        </w:rPr>
        <w:t>peněžních prostředků vázáno</w:t>
      </w:r>
    </w:p>
    <w:p w:rsidR="00DE62EB" w:rsidRPr="001B7633" w:rsidRDefault="00DE62EB" w:rsidP="00DE62EB">
      <w:pPr>
        <w:jc w:val="both"/>
      </w:pPr>
    </w:p>
    <w:p w:rsidR="00DE62EB" w:rsidRPr="00964654" w:rsidRDefault="00DE62EB" w:rsidP="00DE62EB">
      <w:pPr>
        <w:numPr>
          <w:ilvl w:val="0"/>
          <w:numId w:val="5"/>
        </w:numPr>
        <w:ind w:right="-2"/>
        <w:jc w:val="both"/>
        <w:rPr>
          <w:snapToGrid w:val="0"/>
        </w:rPr>
      </w:pPr>
      <w:r>
        <w:rPr>
          <w:snapToGrid w:val="0"/>
        </w:rPr>
        <w:t>Příjemce</w:t>
      </w:r>
      <w:r w:rsidRPr="00964654">
        <w:rPr>
          <w:snapToGrid w:val="0"/>
        </w:rPr>
        <w:t xml:space="preserve"> je povin</w:t>
      </w:r>
      <w:r>
        <w:rPr>
          <w:snapToGrid w:val="0"/>
        </w:rPr>
        <w:t>e</w:t>
      </w:r>
      <w:r w:rsidRPr="00964654">
        <w:rPr>
          <w:snapToGrid w:val="0"/>
        </w:rPr>
        <w:t xml:space="preserve">n plně a prokazatelně splnit účel, na který </w:t>
      </w:r>
      <w:r>
        <w:rPr>
          <w:snapToGrid w:val="0"/>
        </w:rPr>
        <w:t>mu jsou peněžní prostředky určeny.</w:t>
      </w:r>
      <w:r w:rsidRPr="00964654">
        <w:rPr>
          <w:snapToGrid w:val="0"/>
        </w:rPr>
        <w:t xml:space="preserve"> Tímto účelem je realizace projektu</w:t>
      </w:r>
      <w:r>
        <w:rPr>
          <w:snapToGrid w:val="0"/>
        </w:rPr>
        <w:t xml:space="preserve"> </w:t>
      </w:r>
      <w:r w:rsidRPr="00964654">
        <w:rPr>
          <w:snapToGrid w:val="0"/>
        </w:rPr>
        <w:t>identifikov</w:t>
      </w:r>
      <w:r>
        <w:rPr>
          <w:snapToGrid w:val="0"/>
        </w:rPr>
        <w:t>aného</w:t>
      </w:r>
      <w:r w:rsidRPr="00964654">
        <w:rPr>
          <w:snapToGrid w:val="0"/>
        </w:rPr>
        <w:t xml:space="preserve"> takto: </w:t>
      </w:r>
    </w:p>
    <w:p w:rsidR="00DE62EB" w:rsidRPr="00964654" w:rsidRDefault="00DE62EB" w:rsidP="00DE62EB">
      <w:pPr>
        <w:jc w:val="both"/>
      </w:pPr>
    </w:p>
    <w:p w:rsidR="00DE62EB" w:rsidRDefault="00DE62EB" w:rsidP="00DE62EB">
      <w:pPr>
        <w:tabs>
          <w:tab w:val="left" w:pos="360"/>
          <w:tab w:val="num" w:pos="786"/>
        </w:tabs>
        <w:jc w:val="both"/>
        <w:rPr>
          <w:b/>
          <w:snapToGrid w:val="0"/>
        </w:rPr>
      </w:pPr>
      <w:r>
        <w:rPr>
          <w:b/>
          <w:snapToGrid w:val="0"/>
        </w:rPr>
        <w:tab/>
        <w:t>Registrační číslo projektu</w:t>
      </w:r>
      <w:r w:rsidRPr="00964654">
        <w:rPr>
          <w:b/>
          <w:snapToGrid w:val="0"/>
        </w:rPr>
        <w:t xml:space="preserve">: </w:t>
      </w:r>
    </w:p>
    <w:p w:rsidR="00DE62EB" w:rsidRPr="000D04C4" w:rsidRDefault="00DE62EB" w:rsidP="00DE62EB">
      <w:pPr>
        <w:tabs>
          <w:tab w:val="left" w:pos="360"/>
          <w:tab w:val="num" w:pos="786"/>
        </w:tabs>
        <w:jc w:val="both"/>
        <w:rPr>
          <w:b/>
          <w:snapToGrid w:val="0"/>
        </w:rPr>
      </w:pPr>
      <w:r>
        <w:rPr>
          <w:b/>
          <w:snapToGrid w:val="0"/>
        </w:rPr>
        <w:tab/>
      </w:r>
      <w:r w:rsidRPr="000D04C4">
        <w:rPr>
          <w:b/>
          <w:snapToGrid w:val="0"/>
        </w:rPr>
        <w:t xml:space="preserve">Prioritní osa OPD: </w:t>
      </w:r>
    </w:p>
    <w:p w:rsidR="00DE62EB" w:rsidRDefault="00DE62EB" w:rsidP="00DE62EB">
      <w:pPr>
        <w:tabs>
          <w:tab w:val="left" w:pos="360"/>
          <w:tab w:val="num" w:pos="786"/>
        </w:tabs>
        <w:jc w:val="both"/>
        <w:rPr>
          <w:b/>
          <w:snapToGrid w:val="0"/>
        </w:rPr>
      </w:pPr>
      <w:r>
        <w:rPr>
          <w:b/>
          <w:snapToGrid w:val="0"/>
        </w:rPr>
        <w:tab/>
      </w:r>
      <w:r w:rsidRPr="000D04C4">
        <w:rPr>
          <w:b/>
          <w:snapToGrid w:val="0"/>
        </w:rPr>
        <w:t>Specifický cíl OPD:</w:t>
      </w:r>
      <w:r w:rsidR="00131396">
        <w:rPr>
          <w:b/>
          <w:snapToGrid w:val="0"/>
        </w:rPr>
        <w:t xml:space="preserve"> </w:t>
      </w:r>
    </w:p>
    <w:p w:rsidR="00DE62EB" w:rsidRPr="002E61C0" w:rsidRDefault="00DE62EB" w:rsidP="002E61C0">
      <w:pPr>
        <w:tabs>
          <w:tab w:val="left" w:pos="360"/>
          <w:tab w:val="num" w:pos="786"/>
        </w:tabs>
        <w:ind w:left="360"/>
        <w:outlineLvl w:val="0"/>
        <w:rPr>
          <w:snapToGrid w:val="0"/>
        </w:rPr>
      </w:pPr>
      <w:r>
        <w:rPr>
          <w:b/>
          <w:snapToGrid w:val="0"/>
        </w:rPr>
        <w:t>Název projektu:</w:t>
      </w:r>
      <w:r w:rsidR="00131396">
        <w:rPr>
          <w:b/>
          <w:snapToGrid w:val="0"/>
        </w:rPr>
        <w:t xml:space="preserve"> </w:t>
      </w:r>
    </w:p>
    <w:p w:rsidR="00131396" w:rsidRDefault="00DE62EB" w:rsidP="002E61C0">
      <w:pPr>
        <w:tabs>
          <w:tab w:val="left" w:pos="360"/>
          <w:tab w:val="num" w:pos="786"/>
        </w:tabs>
        <w:ind w:left="360"/>
        <w:jc w:val="both"/>
        <w:rPr>
          <w:b/>
          <w:snapToGrid w:val="0"/>
        </w:rPr>
      </w:pPr>
      <w:r>
        <w:rPr>
          <w:b/>
          <w:snapToGrid w:val="0"/>
        </w:rPr>
        <w:t>Popis projektu:</w:t>
      </w:r>
      <w:r>
        <w:rPr>
          <w:rStyle w:val="Znakapoznpodarou"/>
          <w:b/>
          <w:snapToGrid w:val="0"/>
        </w:rPr>
        <w:footnoteReference w:id="7"/>
      </w:r>
      <w:r w:rsidR="00131396">
        <w:rPr>
          <w:b/>
          <w:snapToGrid w:val="0"/>
        </w:rPr>
        <w:t xml:space="preserve">  </w:t>
      </w:r>
    </w:p>
    <w:p w:rsidR="00DE62EB" w:rsidRDefault="00DE62EB" w:rsidP="005A7129">
      <w:pPr>
        <w:pStyle w:val="Odstavecseseznamem"/>
        <w:spacing w:before="240"/>
        <w:ind w:left="360"/>
        <w:jc w:val="both"/>
        <w:rPr>
          <w:snapToGrid w:val="0"/>
        </w:rPr>
      </w:pPr>
      <w:r>
        <w:rPr>
          <w:snapToGrid w:val="0"/>
        </w:rPr>
        <w:t>P</w:t>
      </w:r>
      <w:r w:rsidRPr="00964654">
        <w:rPr>
          <w:snapToGrid w:val="0"/>
        </w:rPr>
        <w:t xml:space="preserve">ři realizaci projektu </w:t>
      </w:r>
      <w:r>
        <w:rPr>
          <w:snapToGrid w:val="0"/>
        </w:rPr>
        <w:t>je příjemce povinen postupovat v souladu s předmětnou Výzvou</w:t>
      </w:r>
      <w:r w:rsidR="002F727C">
        <w:rPr>
          <w:snapToGrid w:val="0"/>
        </w:rPr>
        <w:t xml:space="preserve"> a její dokumentací</w:t>
      </w:r>
      <w:r>
        <w:rPr>
          <w:snapToGrid w:val="0"/>
        </w:rPr>
        <w:t>, Dokumentací programu</w:t>
      </w:r>
      <w:r w:rsidR="002F727C">
        <w:rPr>
          <w:snapToGrid w:val="0"/>
        </w:rPr>
        <w:t xml:space="preserve"> (pokud je relevantní)</w:t>
      </w:r>
      <w:r>
        <w:rPr>
          <w:snapToGrid w:val="0"/>
        </w:rPr>
        <w:t xml:space="preserve"> a Pravidly pro žadatele a příjemce OPD 2014-2020 platnými v době, </w:t>
      </w:r>
      <w:r w:rsidRPr="00B91416">
        <w:rPr>
          <w:snapToGrid w:val="0"/>
        </w:rPr>
        <w:t>kdy došlo k právní skutečnosti (např. vyhlášení výběrového/zadávacího řízení)</w:t>
      </w:r>
      <w:r>
        <w:rPr>
          <w:snapToGrid w:val="0"/>
        </w:rPr>
        <w:t>,</w:t>
      </w:r>
      <w:r w:rsidRPr="00B91416">
        <w:rPr>
          <w:snapToGrid w:val="0"/>
        </w:rPr>
        <w:t xml:space="preserve"> či nastala událost související s realizací projektu (např. zpracování zpráv o realizaci, zpracování žádostí o platbu</w:t>
      </w:r>
      <w:r>
        <w:rPr>
          <w:snapToGrid w:val="0"/>
        </w:rPr>
        <w:t>, výběrové řízení na nového zaměstnance).</w:t>
      </w:r>
    </w:p>
    <w:p w:rsidR="00FB2EC6" w:rsidRDefault="00FB2EC6" w:rsidP="005A7129">
      <w:pPr>
        <w:pStyle w:val="Odstavecseseznamem"/>
        <w:spacing w:before="240"/>
        <w:ind w:left="360"/>
        <w:jc w:val="both"/>
        <w:rPr>
          <w:snapToGrid w:val="0"/>
        </w:rPr>
      </w:pPr>
    </w:p>
    <w:p w:rsidR="00FB2EC6" w:rsidRDefault="00DE62EB" w:rsidP="00DE62EB">
      <w:pPr>
        <w:pStyle w:val="Odstavecseseznamem"/>
        <w:spacing w:before="240"/>
        <w:ind w:left="360"/>
        <w:jc w:val="both"/>
        <w:rPr>
          <w:snapToGrid w:val="0"/>
        </w:rPr>
      </w:pPr>
      <w:r w:rsidRPr="00FB3218">
        <w:rPr>
          <w:snapToGrid w:val="0"/>
        </w:rPr>
        <w:t>Příjemce dotace je povinen použít prostředky jen na způsobilé výdaje, v souladu s účelem projektu</w:t>
      </w:r>
      <w:r>
        <w:rPr>
          <w:snapToGrid w:val="0"/>
        </w:rPr>
        <w:t xml:space="preserve"> a v souladu s cíli definovanými v projektové žádosti, kterými jsou:</w:t>
      </w:r>
    </w:p>
    <w:p w:rsidR="00C474C3" w:rsidRPr="00C474C3" w:rsidRDefault="00C474C3" w:rsidP="00C474C3">
      <w:pPr>
        <w:spacing w:before="120"/>
        <w:jc w:val="both"/>
        <w:rPr>
          <w:i/>
          <w:snapToGrid w:val="0"/>
        </w:rPr>
      </w:pPr>
    </w:p>
    <w:p w:rsidR="002F727C" w:rsidRDefault="002F727C" w:rsidP="00DE62EB">
      <w:pPr>
        <w:pStyle w:val="Odstavecseseznamem"/>
        <w:spacing w:before="120"/>
        <w:ind w:left="360"/>
        <w:jc w:val="both"/>
        <w:rPr>
          <w:snapToGrid w:val="0"/>
        </w:rPr>
      </w:pPr>
    </w:p>
    <w:p w:rsidR="00DE62EB" w:rsidRPr="00FB3218" w:rsidRDefault="00DE62EB" w:rsidP="00DE62EB">
      <w:pPr>
        <w:pStyle w:val="Odstavecseseznamem"/>
        <w:spacing w:before="120"/>
        <w:ind w:left="360"/>
        <w:jc w:val="both"/>
        <w:rPr>
          <w:b/>
          <w:snapToGrid w:val="0"/>
        </w:rPr>
      </w:pPr>
      <w:r w:rsidRPr="00FB3218">
        <w:rPr>
          <w:snapToGrid w:val="0"/>
        </w:rPr>
        <w:t>Při zadávání (v</w:t>
      </w:r>
      <w:bookmarkStart w:id="0" w:name="_GoBack"/>
      <w:bookmarkEnd w:id="0"/>
      <w:r w:rsidRPr="00FB3218">
        <w:rPr>
          <w:snapToGrid w:val="0"/>
        </w:rPr>
        <w:t>eřejných) zakázek je příjemce zároveň povinen postupovat v souladu s platnými právními předpisy</w:t>
      </w:r>
      <w:r>
        <w:rPr>
          <w:rStyle w:val="Znakapoznpodarou"/>
          <w:snapToGrid w:val="0"/>
        </w:rPr>
        <w:footnoteReference w:id="8"/>
      </w:r>
      <w:r>
        <w:rPr>
          <w:snapToGrid w:val="0"/>
        </w:rPr>
        <w:t xml:space="preserve">, </w:t>
      </w:r>
      <w:r w:rsidRPr="00FB3218">
        <w:rPr>
          <w:snapToGrid w:val="0"/>
        </w:rPr>
        <w:t>Pravidly pro ža</w:t>
      </w:r>
      <w:r>
        <w:rPr>
          <w:snapToGrid w:val="0"/>
        </w:rPr>
        <w:t>datele a příjemce OPD 2014-2020</w:t>
      </w:r>
      <w:r w:rsidRPr="00FB3218">
        <w:rPr>
          <w:snapToGrid w:val="0"/>
        </w:rPr>
        <w:t xml:space="preserve"> </w:t>
      </w:r>
      <w:r>
        <w:rPr>
          <w:snapToGrid w:val="0"/>
        </w:rPr>
        <w:t>a s </w:t>
      </w:r>
      <w:r w:rsidRPr="0046382E">
        <w:rPr>
          <w:snapToGrid w:val="0"/>
        </w:rPr>
        <w:t>Metodický</w:t>
      </w:r>
      <w:r>
        <w:rPr>
          <w:snapToGrid w:val="0"/>
        </w:rPr>
        <w:t>m</w:t>
      </w:r>
      <w:r w:rsidRPr="0046382E">
        <w:rPr>
          <w:snapToGrid w:val="0"/>
        </w:rPr>
        <w:t xml:space="preserve"> pokyn</w:t>
      </w:r>
      <w:r>
        <w:rPr>
          <w:snapToGrid w:val="0"/>
        </w:rPr>
        <w:t>em</w:t>
      </w:r>
      <w:r w:rsidRPr="0046382E">
        <w:rPr>
          <w:snapToGrid w:val="0"/>
        </w:rPr>
        <w:t xml:space="preserve"> pro oblast zadávání zakázek pro programové období 2014-2020</w:t>
      </w:r>
      <w:r w:rsidRPr="00FB3218">
        <w:rPr>
          <w:snapToGrid w:val="0"/>
        </w:rPr>
        <w:t>.</w:t>
      </w:r>
      <w:r w:rsidRPr="00FB3218" w:rsidDel="00ED48D5">
        <w:rPr>
          <w:snapToGrid w:val="0"/>
        </w:rPr>
        <w:t xml:space="preserve"> </w:t>
      </w:r>
      <w:r w:rsidRPr="00FB3218">
        <w:rPr>
          <w:snapToGrid w:val="0"/>
        </w:rPr>
        <w:t>Příjemce je povinen pravidelně předkládat pravdivé a úplné informace o stavu realizace projektu prostřednictvím zpráv o realizaci pr</w:t>
      </w:r>
      <w:r>
        <w:rPr>
          <w:snapToGrid w:val="0"/>
        </w:rPr>
        <w:t>ojektu (dále „</w:t>
      </w:r>
      <w:proofErr w:type="spellStart"/>
      <w:r>
        <w:rPr>
          <w:snapToGrid w:val="0"/>
        </w:rPr>
        <w:t>ZoR</w:t>
      </w:r>
      <w:proofErr w:type="spellEnd"/>
      <w:r>
        <w:rPr>
          <w:snapToGrid w:val="0"/>
        </w:rPr>
        <w:t>“) společně s </w:t>
      </w:r>
      <w:r w:rsidRPr="00FB3218">
        <w:rPr>
          <w:snapToGrid w:val="0"/>
        </w:rPr>
        <w:t>žádostí o platbu (dále „</w:t>
      </w:r>
      <w:proofErr w:type="spellStart"/>
      <w:r w:rsidRPr="00FB3218">
        <w:rPr>
          <w:snapToGrid w:val="0"/>
        </w:rPr>
        <w:t>ŽoP</w:t>
      </w:r>
      <w:proofErr w:type="spellEnd"/>
      <w:r w:rsidRPr="00FB3218">
        <w:rPr>
          <w:snapToGrid w:val="0"/>
        </w:rPr>
        <w:t xml:space="preserve">“). Forma zpracování zpráv a informací je elektronická. Všechny zprávy a </w:t>
      </w:r>
      <w:r w:rsidRPr="00FB3218">
        <w:rPr>
          <w:snapToGrid w:val="0"/>
        </w:rPr>
        <w:lastRenderedPageBreak/>
        <w:t>informace předkládané příjemcem jsou zpracovává</w:t>
      </w:r>
      <w:r>
        <w:rPr>
          <w:snapToGrid w:val="0"/>
        </w:rPr>
        <w:t>ny v IS </w:t>
      </w:r>
      <w:r w:rsidRPr="00FB3218">
        <w:rPr>
          <w:snapToGrid w:val="0"/>
        </w:rPr>
        <w:t>KP2014+ v modulu Zprávy o realizaci</w:t>
      </w:r>
      <w:r>
        <w:rPr>
          <w:snapToGrid w:val="0"/>
        </w:rPr>
        <w:t>.</w:t>
      </w:r>
      <w:r w:rsidRPr="00FB3218">
        <w:rPr>
          <w:snapToGrid w:val="0"/>
        </w:rPr>
        <w:t xml:space="preserve"> Po finalizaci </w:t>
      </w:r>
      <w:proofErr w:type="spellStart"/>
      <w:r w:rsidRPr="00FB3218">
        <w:rPr>
          <w:snapToGrid w:val="0"/>
        </w:rPr>
        <w:t>ZoR</w:t>
      </w:r>
      <w:proofErr w:type="spellEnd"/>
      <w:r w:rsidRPr="00FB3218">
        <w:rPr>
          <w:snapToGrid w:val="0"/>
        </w:rPr>
        <w:t xml:space="preserve"> a jejich autorizaci odpovědnou osobou (statutárním zástupcem příjem</w:t>
      </w:r>
      <w:r>
        <w:rPr>
          <w:snapToGrid w:val="0"/>
        </w:rPr>
        <w:t>ce či jinou osobou oprávněnou k </w:t>
      </w:r>
      <w:r w:rsidRPr="00FB3218">
        <w:rPr>
          <w:snapToGrid w:val="0"/>
        </w:rPr>
        <w:t xml:space="preserve">podpisu) dochází k přenosu zprávy do MS2014+, kde probíhá hodnocení a schvalování zpráv/informací ze strany Řídicího orgánu OPD (dále jen „ŘO OPD“).  </w:t>
      </w:r>
    </w:p>
    <w:p w:rsidR="00DE62EB" w:rsidRPr="00853A01" w:rsidRDefault="00DE62EB" w:rsidP="00DE62EB">
      <w:pPr>
        <w:numPr>
          <w:ilvl w:val="0"/>
          <w:numId w:val="5"/>
        </w:numPr>
        <w:spacing w:before="240"/>
        <w:jc w:val="both"/>
        <w:rPr>
          <w:snapToGrid w:val="0"/>
        </w:rPr>
      </w:pPr>
      <w:r w:rsidRPr="00591A33">
        <w:rPr>
          <w:snapToGrid w:val="0"/>
        </w:rPr>
        <w:t xml:space="preserve">Příjemce předkládá průběžnou </w:t>
      </w:r>
      <w:proofErr w:type="spellStart"/>
      <w:r w:rsidRPr="00591A33">
        <w:rPr>
          <w:snapToGrid w:val="0"/>
        </w:rPr>
        <w:t>ZoR</w:t>
      </w:r>
      <w:proofErr w:type="spellEnd"/>
      <w:r w:rsidRPr="00591A33">
        <w:rPr>
          <w:snapToGrid w:val="0"/>
        </w:rPr>
        <w:t xml:space="preserve"> s každou </w:t>
      </w:r>
      <w:proofErr w:type="spellStart"/>
      <w:r>
        <w:rPr>
          <w:snapToGrid w:val="0"/>
        </w:rPr>
        <w:t>ŽoP</w:t>
      </w:r>
      <w:proofErr w:type="spellEnd"/>
      <w:r w:rsidRPr="00591A33">
        <w:rPr>
          <w:snapToGrid w:val="0"/>
        </w:rPr>
        <w:t xml:space="preserve">. První </w:t>
      </w:r>
      <w:proofErr w:type="spellStart"/>
      <w:r>
        <w:rPr>
          <w:snapToGrid w:val="0"/>
        </w:rPr>
        <w:t>ZoR</w:t>
      </w:r>
      <w:proofErr w:type="spellEnd"/>
      <w:r>
        <w:rPr>
          <w:snapToGrid w:val="0"/>
        </w:rPr>
        <w:t xml:space="preserve"> </w:t>
      </w:r>
      <w:r w:rsidRPr="00591A33">
        <w:rPr>
          <w:snapToGrid w:val="0"/>
        </w:rPr>
        <w:t xml:space="preserve">a </w:t>
      </w:r>
      <w:proofErr w:type="spellStart"/>
      <w:r>
        <w:rPr>
          <w:snapToGrid w:val="0"/>
        </w:rPr>
        <w:t>ŽoP</w:t>
      </w:r>
      <w:proofErr w:type="spellEnd"/>
      <w:r w:rsidRPr="00591A33">
        <w:rPr>
          <w:snapToGrid w:val="0"/>
        </w:rPr>
        <w:t xml:space="preserve"> předkládá příjemce do 20 pracovních dnů po uplynutí 3 měsíců od data zahájení realizace projektu, nebo ode dne vydání právního aktu, podle toho, co nastane později. Příjemce má možnost předložit </w:t>
      </w:r>
      <w:proofErr w:type="spellStart"/>
      <w:r w:rsidRPr="00591A33">
        <w:rPr>
          <w:snapToGrid w:val="0"/>
        </w:rPr>
        <w:t>ZoR</w:t>
      </w:r>
      <w:proofErr w:type="spellEnd"/>
      <w:r>
        <w:rPr>
          <w:snapToGrid w:val="0"/>
        </w:rPr>
        <w:t xml:space="preserve"> </w:t>
      </w:r>
      <w:r w:rsidRPr="00591A33">
        <w:rPr>
          <w:snapToGrid w:val="0"/>
        </w:rPr>
        <w:t xml:space="preserve">i kdykoli před uplynutím uvedených termínů. </w:t>
      </w:r>
      <w:r w:rsidRPr="006A30A5">
        <w:rPr>
          <w:snapToGrid w:val="0"/>
        </w:rPr>
        <w:t xml:space="preserve">Frekvence předkládání je daná harmonogramem předkládání </w:t>
      </w:r>
      <w:proofErr w:type="spellStart"/>
      <w:r>
        <w:rPr>
          <w:snapToGrid w:val="0"/>
        </w:rPr>
        <w:t>ZoR</w:t>
      </w:r>
      <w:proofErr w:type="spellEnd"/>
      <w:r>
        <w:rPr>
          <w:snapToGrid w:val="0"/>
        </w:rPr>
        <w:t xml:space="preserve"> (</w:t>
      </w:r>
      <w:proofErr w:type="spellStart"/>
      <w:r>
        <w:rPr>
          <w:snapToGrid w:val="0"/>
        </w:rPr>
        <w:t>ŽoP</w:t>
      </w:r>
      <w:proofErr w:type="spellEnd"/>
      <w:r w:rsidRPr="00853A01">
        <w:rPr>
          <w:snapToGrid w:val="0"/>
        </w:rPr>
        <w:t>).</w:t>
      </w:r>
      <w:r>
        <w:rPr>
          <w:snapToGrid w:val="0"/>
        </w:rPr>
        <w:t xml:space="preserve"> Harmonogram</w:t>
      </w:r>
      <w:r w:rsidRPr="00853A01">
        <w:rPr>
          <w:snapToGrid w:val="0"/>
        </w:rPr>
        <w:t xml:space="preserve"> </w:t>
      </w:r>
      <w:proofErr w:type="spellStart"/>
      <w:r w:rsidRPr="00853A01">
        <w:rPr>
          <w:snapToGrid w:val="0"/>
        </w:rPr>
        <w:t>ZoR</w:t>
      </w:r>
      <w:proofErr w:type="spellEnd"/>
      <w:r w:rsidRPr="00853A01">
        <w:rPr>
          <w:snapToGrid w:val="0"/>
        </w:rPr>
        <w:t xml:space="preserve"> je generován</w:t>
      </w:r>
      <w:r>
        <w:rPr>
          <w:snapToGrid w:val="0"/>
        </w:rPr>
        <w:t xml:space="preserve"> po vydání aktu o poskytnutí podpory</w:t>
      </w:r>
      <w:r w:rsidRPr="00853A01">
        <w:rPr>
          <w:snapToGrid w:val="0"/>
        </w:rPr>
        <w:t xml:space="preserve"> automaticky v závislosti na platném finančním plánu a je možné jej v případě</w:t>
      </w:r>
      <w:r>
        <w:rPr>
          <w:snapToGrid w:val="0"/>
        </w:rPr>
        <w:t xml:space="preserve"> změny v harmonogramu projektu / </w:t>
      </w:r>
      <w:r w:rsidRPr="00853A01">
        <w:rPr>
          <w:snapToGrid w:val="0"/>
        </w:rPr>
        <w:t xml:space="preserve">finančního plánu znovu generovat. </w:t>
      </w:r>
    </w:p>
    <w:p w:rsidR="00DE62EB" w:rsidRDefault="00DE62EB" w:rsidP="00DE62EB">
      <w:pPr>
        <w:spacing w:before="240"/>
        <w:ind w:left="360"/>
        <w:jc w:val="both"/>
        <w:rPr>
          <w:snapToGrid w:val="0"/>
        </w:rPr>
      </w:pPr>
      <w:r w:rsidRPr="00221872">
        <w:rPr>
          <w:snapToGrid w:val="0"/>
        </w:rPr>
        <w:t xml:space="preserve">Změna harmonogramu - žádost o změnu harmonogramu se považuje za nepodstatnou změnu, pokud </w:t>
      </w:r>
      <w:r w:rsidRPr="002705E4">
        <w:rPr>
          <w:snapToGrid w:val="0"/>
        </w:rPr>
        <w:t xml:space="preserve">nemůže ovlivnit </w:t>
      </w:r>
      <w:r w:rsidRPr="00221872">
        <w:rPr>
          <w:snapToGrid w:val="0"/>
        </w:rPr>
        <w:t xml:space="preserve">ukončení realizace projektu, povahu a obsah projektu, naplnění účelu a vytyčených cílů projektu, splnění aktivit/etap, řádné a včasné dokončení projektu, plánované věcné, časové a finanční parametry projektu, nebo naplnění podmínek realizace projektu definovaných ve výzvě, v žádosti o podporu nebo v právním aktu o poskytnutí/převodu podpory a jeho přílohách. O tuto změnu žádá příjemce ŘO OPD prostřednictvím systému IS KP14+ </w:t>
      </w:r>
      <w:r>
        <w:rPr>
          <w:rStyle w:val="Znakapoznpodarou"/>
          <w:snapToGrid w:val="0"/>
        </w:rPr>
        <w:footnoteReference w:id="9"/>
      </w:r>
      <w:r w:rsidRPr="00221872">
        <w:rPr>
          <w:snapToGrid w:val="0"/>
        </w:rPr>
        <w:t xml:space="preserve">. </w:t>
      </w:r>
    </w:p>
    <w:p w:rsidR="00DE62EB" w:rsidRDefault="00DE62EB" w:rsidP="00DE62EB">
      <w:pPr>
        <w:spacing w:before="240"/>
        <w:ind w:left="360"/>
        <w:jc w:val="both"/>
        <w:rPr>
          <w:snapToGrid w:val="0"/>
        </w:rPr>
      </w:pPr>
      <w:r w:rsidRPr="00221872">
        <w:rPr>
          <w:snapToGrid w:val="0"/>
        </w:rPr>
        <w:t xml:space="preserve">Pokud příjemce nepředkládá </w:t>
      </w:r>
      <w:proofErr w:type="spellStart"/>
      <w:r w:rsidRPr="00221872">
        <w:rPr>
          <w:snapToGrid w:val="0"/>
        </w:rPr>
        <w:t>ŽoP</w:t>
      </w:r>
      <w:proofErr w:type="spellEnd"/>
      <w:r w:rsidRPr="00221872">
        <w:rPr>
          <w:snapToGrid w:val="0"/>
        </w:rPr>
        <w:t xml:space="preserve">, nepředkládá ani průběžnou </w:t>
      </w:r>
      <w:proofErr w:type="spellStart"/>
      <w:r w:rsidRPr="00221872">
        <w:rPr>
          <w:snapToGrid w:val="0"/>
        </w:rPr>
        <w:t>ZoR</w:t>
      </w:r>
      <w:proofErr w:type="spellEnd"/>
      <w:r w:rsidR="00272AF0">
        <w:rPr>
          <w:snapToGrid w:val="0"/>
        </w:rPr>
        <w:t xml:space="preserve">, </w:t>
      </w:r>
      <w:r w:rsidRPr="004177DD">
        <w:rPr>
          <w:snapToGrid w:val="0"/>
        </w:rPr>
        <w:t xml:space="preserve">dle </w:t>
      </w:r>
      <w:r>
        <w:rPr>
          <w:snapToGrid w:val="0"/>
        </w:rPr>
        <w:t xml:space="preserve">aktuálně schváleného </w:t>
      </w:r>
      <w:r w:rsidRPr="004177DD">
        <w:rPr>
          <w:snapToGrid w:val="0"/>
        </w:rPr>
        <w:t xml:space="preserve">finančního plánu informuje </w:t>
      </w:r>
      <w:r>
        <w:rPr>
          <w:snapToGrid w:val="0"/>
        </w:rPr>
        <w:t xml:space="preserve">depeší ŘO </w:t>
      </w:r>
      <w:r w:rsidR="00382C0D">
        <w:rPr>
          <w:snapToGrid w:val="0"/>
        </w:rPr>
        <w:t xml:space="preserve">OPD </w:t>
      </w:r>
      <w:r w:rsidRPr="004177DD">
        <w:rPr>
          <w:snapToGrid w:val="0"/>
        </w:rPr>
        <w:t xml:space="preserve">o této skutečnosti </w:t>
      </w:r>
      <w:r>
        <w:rPr>
          <w:snapToGrid w:val="0"/>
        </w:rPr>
        <w:t xml:space="preserve">před uplynutím data, kdy měla být </w:t>
      </w:r>
      <w:proofErr w:type="spellStart"/>
      <w:r>
        <w:rPr>
          <w:snapToGrid w:val="0"/>
        </w:rPr>
        <w:t>ZoR</w:t>
      </w:r>
      <w:proofErr w:type="spellEnd"/>
      <w:r>
        <w:rPr>
          <w:snapToGrid w:val="0"/>
        </w:rPr>
        <w:t xml:space="preserve"> předložena </w:t>
      </w:r>
      <w:r w:rsidRPr="004177DD">
        <w:rPr>
          <w:snapToGrid w:val="0"/>
        </w:rPr>
        <w:t>včetně zdůvodnění.</w:t>
      </w:r>
      <w:r w:rsidRPr="00221872">
        <w:rPr>
          <w:snapToGrid w:val="0"/>
        </w:rPr>
        <w:t xml:space="preserve"> </w:t>
      </w:r>
      <w:r>
        <w:rPr>
          <w:snapToGrid w:val="0"/>
        </w:rPr>
        <w:t xml:space="preserve">Před předložením následné </w:t>
      </w:r>
      <w:proofErr w:type="spellStart"/>
      <w:r>
        <w:rPr>
          <w:snapToGrid w:val="0"/>
        </w:rPr>
        <w:t>ZoR</w:t>
      </w:r>
      <w:proofErr w:type="spellEnd"/>
      <w:r>
        <w:rPr>
          <w:snapToGrid w:val="0"/>
        </w:rPr>
        <w:t xml:space="preserve"> (</w:t>
      </w:r>
      <w:proofErr w:type="spellStart"/>
      <w:r>
        <w:rPr>
          <w:snapToGrid w:val="0"/>
        </w:rPr>
        <w:t>ŽoP</w:t>
      </w:r>
      <w:proofErr w:type="spellEnd"/>
      <w:r>
        <w:rPr>
          <w:snapToGrid w:val="0"/>
        </w:rPr>
        <w:t>) příjemce podá Žádost o změnu finančního plánu ŘO</w:t>
      </w:r>
      <w:r w:rsidR="00382C0D">
        <w:rPr>
          <w:snapToGrid w:val="0"/>
        </w:rPr>
        <w:t xml:space="preserve"> OPD</w:t>
      </w:r>
      <w:r>
        <w:rPr>
          <w:snapToGrid w:val="0"/>
        </w:rPr>
        <w:t xml:space="preserve"> ke schválení. </w:t>
      </w:r>
      <w:r w:rsidRPr="00221872">
        <w:rPr>
          <w:snapToGrid w:val="0"/>
        </w:rPr>
        <w:t>ŘO OPD vrací zprávu k doplnění/schva</w:t>
      </w:r>
      <w:r w:rsidRPr="002705E4">
        <w:rPr>
          <w:snapToGrid w:val="0"/>
        </w:rPr>
        <w:t xml:space="preserve">luje zprávu postupem v souladu s Pravidly pro žadatele a příjemce OPD 2014-2020. Schválení zprávy je podmínkou pro proplacení </w:t>
      </w:r>
      <w:proofErr w:type="spellStart"/>
      <w:r w:rsidRPr="002705E4">
        <w:rPr>
          <w:snapToGrid w:val="0"/>
        </w:rPr>
        <w:t>ŽoP</w:t>
      </w:r>
      <w:proofErr w:type="spellEnd"/>
      <w:r>
        <w:rPr>
          <w:snapToGrid w:val="0"/>
        </w:rPr>
        <w:t>.</w:t>
      </w:r>
    </w:p>
    <w:p w:rsidR="00DE62EB" w:rsidRDefault="00DE62EB" w:rsidP="00DE62EB">
      <w:pPr>
        <w:numPr>
          <w:ilvl w:val="0"/>
          <w:numId w:val="5"/>
        </w:numPr>
        <w:spacing w:before="240"/>
        <w:jc w:val="both"/>
        <w:rPr>
          <w:snapToGrid w:val="0"/>
        </w:rPr>
      </w:pPr>
      <w:r w:rsidRPr="008C63AB">
        <w:rPr>
          <w:snapToGrid w:val="0"/>
        </w:rPr>
        <w:t xml:space="preserve">Změna </w:t>
      </w:r>
      <w:r w:rsidRPr="00EA0D2F">
        <w:rPr>
          <w:snapToGrid w:val="0"/>
        </w:rPr>
        <w:t>Schvalovacího protokolu a Specifikace</w:t>
      </w:r>
      <w:r>
        <w:rPr>
          <w:rStyle w:val="Znakapoznpodarou"/>
          <w:snapToGrid w:val="0"/>
        </w:rPr>
        <w:footnoteReference w:id="10"/>
      </w:r>
      <w:r w:rsidRPr="00EA0D2F">
        <w:rPr>
          <w:snapToGrid w:val="0"/>
        </w:rPr>
        <w:t xml:space="preserve"> může být provedena v MS2014+ na žád</w:t>
      </w:r>
      <w:r w:rsidRPr="00ED6FE9">
        <w:rPr>
          <w:snapToGrid w:val="0"/>
        </w:rPr>
        <w:t xml:space="preserve">ost </w:t>
      </w:r>
      <w:r w:rsidRPr="00DE2A12">
        <w:rPr>
          <w:snapToGrid w:val="0"/>
        </w:rPr>
        <w:t>příjemce</w:t>
      </w:r>
      <w:r>
        <w:rPr>
          <w:rStyle w:val="Znakapoznpodarou"/>
          <w:snapToGrid w:val="0"/>
        </w:rPr>
        <w:footnoteReference w:id="11"/>
      </w:r>
      <w:r w:rsidRPr="00DE2A12">
        <w:rPr>
          <w:snapToGrid w:val="0"/>
        </w:rPr>
        <w:t xml:space="preserve"> a po odsouhlasení statutárním zástupcem ŘO OPD, či jinou osobou oprávněnou k podpisu. V případě, že má změna vliv na podávanou </w:t>
      </w:r>
      <w:proofErr w:type="spellStart"/>
      <w:r w:rsidRPr="00DE2A12">
        <w:rPr>
          <w:snapToGrid w:val="0"/>
        </w:rPr>
        <w:t>ŽoP</w:t>
      </w:r>
      <w:proofErr w:type="spellEnd"/>
      <w:r w:rsidRPr="00DE2A12">
        <w:rPr>
          <w:snapToGrid w:val="0"/>
        </w:rPr>
        <w:t>/</w:t>
      </w:r>
      <w:proofErr w:type="spellStart"/>
      <w:r w:rsidRPr="00DE2A12">
        <w:rPr>
          <w:snapToGrid w:val="0"/>
        </w:rPr>
        <w:t>ZoR</w:t>
      </w:r>
      <w:proofErr w:type="spellEnd"/>
      <w:r w:rsidRPr="00DE2A12">
        <w:rPr>
          <w:snapToGrid w:val="0"/>
        </w:rPr>
        <w:t xml:space="preserve">, musí příjemce podat žádost o změnu před podáním této </w:t>
      </w:r>
      <w:proofErr w:type="spellStart"/>
      <w:r w:rsidRPr="00DE2A12">
        <w:rPr>
          <w:snapToGrid w:val="0"/>
        </w:rPr>
        <w:t>ŽoP</w:t>
      </w:r>
      <w:proofErr w:type="spellEnd"/>
      <w:r w:rsidRPr="00DE2A12">
        <w:rPr>
          <w:snapToGrid w:val="0"/>
        </w:rPr>
        <w:t>/</w:t>
      </w:r>
      <w:proofErr w:type="spellStart"/>
      <w:r w:rsidRPr="00DE2A12">
        <w:rPr>
          <w:snapToGrid w:val="0"/>
        </w:rPr>
        <w:t>ZoR</w:t>
      </w:r>
      <w:proofErr w:type="spellEnd"/>
      <w:r w:rsidRPr="00DE2A12">
        <w:rPr>
          <w:snapToGrid w:val="0"/>
        </w:rPr>
        <w:t xml:space="preserve"> projektu, a to nejpozději s datem ukončení realizace projektu</w:t>
      </w:r>
      <w:r w:rsidRPr="008C63AB">
        <w:rPr>
          <w:snapToGrid w:val="0"/>
        </w:rPr>
        <w:t xml:space="preserve">. </w:t>
      </w:r>
    </w:p>
    <w:p w:rsidR="00DE62EB" w:rsidRPr="00DE2A12" w:rsidRDefault="00DE62EB" w:rsidP="00DE62EB">
      <w:pPr>
        <w:spacing w:before="240"/>
        <w:ind w:left="360" w:right="-2"/>
        <w:jc w:val="both"/>
        <w:rPr>
          <w:b/>
          <w:i/>
          <w:snapToGrid w:val="0"/>
        </w:rPr>
      </w:pPr>
      <w:r w:rsidRPr="00BA7AAF">
        <w:rPr>
          <w:snapToGrid w:val="0"/>
        </w:rPr>
        <w:t>V rámci optimalizace sběru dat k hodnocení naplňování rov</w:t>
      </w:r>
      <w:r w:rsidRPr="000D6B99">
        <w:rPr>
          <w:snapToGrid w:val="0"/>
        </w:rPr>
        <w:t>nosti žen a mužů musí příjemce v případě projektů obsahujících mzdové výdaje sledovat a evidovat rozdělení mzdových prostředků mezi muže a ženy na obdobných pracovních/služebních pozicích.</w:t>
      </w:r>
      <w:r>
        <w:rPr>
          <w:snapToGrid w:val="0"/>
        </w:rPr>
        <w:t xml:space="preserve"> Tyto informace mohou být ze strany ŘO OPD kdykoli vyžádány.</w:t>
      </w:r>
    </w:p>
    <w:p w:rsidR="00DE62EB" w:rsidRPr="006914D3" w:rsidRDefault="00DE62EB" w:rsidP="00DE62EB">
      <w:pPr>
        <w:widowControl w:val="0"/>
        <w:numPr>
          <w:ilvl w:val="0"/>
          <w:numId w:val="5"/>
        </w:numPr>
        <w:ind w:right="-2"/>
        <w:jc w:val="both"/>
        <w:rPr>
          <w:snapToGrid w:val="0"/>
        </w:rPr>
      </w:pPr>
      <w:r w:rsidRPr="00AC3C67">
        <w:rPr>
          <w:snapToGrid w:val="0"/>
        </w:rPr>
        <w:t xml:space="preserve">Příjemce je povinen nejpozději při podání poslední </w:t>
      </w:r>
      <w:proofErr w:type="spellStart"/>
      <w:r w:rsidRPr="00AC3C67">
        <w:rPr>
          <w:snapToGrid w:val="0"/>
        </w:rPr>
        <w:t>ŽoP</w:t>
      </w:r>
      <w:proofErr w:type="spellEnd"/>
      <w:r w:rsidRPr="00AC3C67">
        <w:rPr>
          <w:snapToGrid w:val="0"/>
        </w:rPr>
        <w:t xml:space="preserve"> informovat o naplnění účelu projektu a dosažených hodnotách indikátorů</w:t>
      </w:r>
      <w:r>
        <w:rPr>
          <w:snapToGrid w:val="0"/>
        </w:rPr>
        <w:t xml:space="preserve">. </w:t>
      </w:r>
      <w:r w:rsidRPr="00A93D62">
        <w:rPr>
          <w:snapToGrid w:val="0"/>
        </w:rPr>
        <w:t xml:space="preserve">Příjemce je povinen v průběhu realizace </w:t>
      </w:r>
      <w:r>
        <w:rPr>
          <w:snapToGrid w:val="0"/>
        </w:rPr>
        <w:t xml:space="preserve">Operačního programu Doprava 2014-2020, </w:t>
      </w:r>
      <w:r w:rsidRPr="00666C10">
        <w:rPr>
          <w:snapToGrid w:val="0"/>
        </w:rPr>
        <w:t xml:space="preserve">za účelem ověřování plnění povinností </w:t>
      </w:r>
      <w:r w:rsidRPr="00666C10">
        <w:rPr>
          <w:snapToGrid w:val="0"/>
        </w:rPr>
        <w:lastRenderedPageBreak/>
        <w:t xml:space="preserve">vyplývajících ze </w:t>
      </w:r>
      <w:r w:rsidRPr="00796E39">
        <w:rPr>
          <w:snapToGrid w:val="0"/>
        </w:rPr>
        <w:t>Schvalovacího protokolu</w:t>
      </w:r>
      <w:r w:rsidRPr="00B20ED8">
        <w:rPr>
          <w:snapToGrid w:val="0"/>
        </w:rPr>
        <w:t xml:space="preserve"> a </w:t>
      </w:r>
      <w:r w:rsidRPr="006914D3">
        <w:rPr>
          <w:snapToGrid w:val="0"/>
        </w:rPr>
        <w:t xml:space="preserve">této Specifikace poskytovat požadované informace a dokumentaci pověřeným zaměstnancům </w:t>
      </w:r>
      <w:r>
        <w:rPr>
          <w:snapToGrid w:val="0"/>
        </w:rPr>
        <w:t xml:space="preserve">Ministerstva dopravy </w:t>
      </w:r>
      <w:r w:rsidRPr="006914D3">
        <w:rPr>
          <w:snapToGrid w:val="0"/>
        </w:rPr>
        <w:t xml:space="preserve">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w:t>
      </w:r>
      <w:r>
        <w:rPr>
          <w:snapToGrid w:val="0"/>
        </w:rPr>
        <w:t xml:space="preserve">či auditu </w:t>
      </w:r>
      <w:r w:rsidRPr="006914D3">
        <w:rPr>
          <w:snapToGrid w:val="0"/>
        </w:rPr>
        <w:t>vztahující</w:t>
      </w:r>
      <w:r>
        <w:rPr>
          <w:snapToGrid w:val="0"/>
        </w:rPr>
        <w:t>ho</w:t>
      </w:r>
      <w:r w:rsidRPr="006914D3">
        <w:rPr>
          <w:snapToGrid w:val="0"/>
        </w:rPr>
        <w:t xml:space="preserve"> se k realizaci projektu a poskytnout jim při provádění kontroly </w:t>
      </w:r>
      <w:r>
        <w:rPr>
          <w:snapToGrid w:val="0"/>
        </w:rPr>
        <w:t xml:space="preserve">či auditu </w:t>
      </w:r>
      <w:r w:rsidRPr="006914D3">
        <w:rPr>
          <w:snapToGrid w:val="0"/>
        </w:rPr>
        <w:t xml:space="preserve">součinnost. Příjemce je též povinen zajistit, aby obdobné povinnosti ve vztahu k projektu plnili také dodavatelé podílející se na realizaci projektu. </w:t>
      </w:r>
      <w:r w:rsidRPr="00A93D62">
        <w:rPr>
          <w:snapToGrid w:val="0"/>
        </w:rPr>
        <w:t>Příjemce,</w:t>
      </w:r>
      <w:r w:rsidRPr="00666C10">
        <w:rPr>
          <w:snapToGrid w:val="0"/>
        </w:rPr>
        <w:t xml:space="preserve"> který vede účetnictví podle zákona č. 563/1991 Sb., o účetnictví, ve znění pozdějších předpisů, zajistí jednoznačné přiřazení účetních položek ke konkrétnímu projektu, tj. zejména výnosů a nákladů a zařazení do evidence majetku (u příj</w:t>
      </w:r>
      <w:r w:rsidRPr="00796E39">
        <w:rPr>
          <w:snapToGrid w:val="0"/>
        </w:rPr>
        <w:t>emce postupujících podle §38a zákona o účetnictví se jedná o přiřazení zejména příjmů a výdajů a zařazení do evidence majetku).</w:t>
      </w:r>
      <w:r>
        <w:rPr>
          <w:rStyle w:val="Znakapoznpodarou"/>
          <w:snapToGrid w:val="0"/>
        </w:rPr>
        <w:footnoteReference w:id="12"/>
      </w:r>
      <w:r w:rsidRPr="00A93D62">
        <w:rPr>
          <w:snapToGrid w:val="0"/>
        </w:rPr>
        <w:t xml:space="preserve"> </w:t>
      </w:r>
    </w:p>
    <w:p w:rsidR="00DE62EB" w:rsidRDefault="00DE62EB" w:rsidP="00DE62EB">
      <w:pPr>
        <w:widowControl w:val="0"/>
        <w:numPr>
          <w:ilvl w:val="0"/>
          <w:numId w:val="5"/>
        </w:numPr>
        <w:ind w:right="-2"/>
        <w:jc w:val="both"/>
        <w:rPr>
          <w:snapToGrid w:val="0"/>
        </w:rPr>
      </w:pPr>
      <w:r>
        <w:rPr>
          <w:snapToGrid w:val="0"/>
        </w:rPr>
        <w:t>Příjemce</w:t>
      </w:r>
      <w:r w:rsidRPr="001D4E3F">
        <w:rPr>
          <w:snapToGrid w:val="0"/>
        </w:rPr>
        <w:t xml:space="preserve"> je povin</w:t>
      </w:r>
      <w:r>
        <w:rPr>
          <w:snapToGrid w:val="0"/>
        </w:rPr>
        <w:t>e</w:t>
      </w:r>
      <w:r w:rsidRPr="001D4E3F">
        <w:rPr>
          <w:snapToGrid w:val="0"/>
        </w:rPr>
        <w:t xml:space="preserve">n uchovávat veškerou dokumentaci související s realizací projektu včetně </w:t>
      </w:r>
      <w:r>
        <w:rPr>
          <w:snapToGrid w:val="0"/>
        </w:rPr>
        <w:t xml:space="preserve">originálů </w:t>
      </w:r>
      <w:r w:rsidRPr="001D4E3F">
        <w:rPr>
          <w:snapToGrid w:val="0"/>
        </w:rPr>
        <w:t xml:space="preserve">účetních dokladů v souladu </w:t>
      </w:r>
      <w:r w:rsidRPr="00D77671">
        <w:rPr>
          <w:snapToGrid w:val="0"/>
        </w:rPr>
        <w:t xml:space="preserve">s článkem 140 Nařízení Evropského parlamentu a Rady (EU) 1303/2013 v případě </w:t>
      </w:r>
      <w:r>
        <w:rPr>
          <w:snapToGrid w:val="0"/>
        </w:rPr>
        <w:t>projektů</w:t>
      </w:r>
      <w:r w:rsidRPr="00D77671">
        <w:rPr>
          <w:snapToGrid w:val="0"/>
        </w:rPr>
        <w:t>, u nichž jsou celkové způsobilé výdaje nižší než 1 000 000 EUR po dobu tří let od 31. prosince následujícího po předložení účetní závěrky</w:t>
      </w:r>
      <w:r w:rsidRPr="005A7129">
        <w:rPr>
          <w:rStyle w:val="Znakapoznpodarou"/>
        </w:rPr>
        <w:footnoteReference w:id="13"/>
      </w:r>
      <w:r w:rsidRPr="00D77671">
        <w:rPr>
          <w:snapToGrid w:val="0"/>
        </w:rPr>
        <w:t xml:space="preserve">, v níž jsou výdaje na </w:t>
      </w:r>
      <w:r>
        <w:rPr>
          <w:snapToGrid w:val="0"/>
        </w:rPr>
        <w:t>projekt</w:t>
      </w:r>
      <w:r w:rsidRPr="00D77671">
        <w:rPr>
          <w:snapToGrid w:val="0"/>
        </w:rPr>
        <w:t xml:space="preserve"> uvedeny. V případě </w:t>
      </w:r>
      <w:r>
        <w:rPr>
          <w:snapToGrid w:val="0"/>
        </w:rPr>
        <w:t>projektů</w:t>
      </w:r>
      <w:r w:rsidRPr="00D77671">
        <w:rPr>
          <w:snapToGrid w:val="0"/>
        </w:rPr>
        <w:t xml:space="preserve"> neuvedených výše jsou všechny doklady k dispozici po dobu dvou let od 31. prosince následujícího po předložení účetní závěrky, v níž jsou zahrnuty konečné výdaje ukončené</w:t>
      </w:r>
      <w:r>
        <w:rPr>
          <w:snapToGrid w:val="0"/>
        </w:rPr>
        <w:t>ho</w:t>
      </w:r>
      <w:r w:rsidRPr="00D77671">
        <w:rPr>
          <w:snapToGrid w:val="0"/>
        </w:rPr>
        <w:t xml:space="preserve"> </w:t>
      </w:r>
      <w:r>
        <w:rPr>
          <w:snapToGrid w:val="0"/>
        </w:rPr>
        <w:t>projektu</w:t>
      </w:r>
      <w:r w:rsidRPr="00D77671">
        <w:rPr>
          <w:snapToGrid w:val="0"/>
        </w:rPr>
        <w:t xml:space="preserve">, </w:t>
      </w:r>
      <w:r w:rsidRPr="00657E25">
        <w:rPr>
          <w:snapToGrid w:val="0"/>
        </w:rPr>
        <w:t>a pokud je v českých právních předpisech stanovena lhůta delší než v evropských právních předpisech, platí tato delší lhůta.</w:t>
      </w:r>
      <w:r>
        <w:rPr>
          <w:snapToGrid w:val="0"/>
        </w:rPr>
        <w:t xml:space="preserve"> </w:t>
      </w:r>
      <w:r w:rsidRPr="005D24C5">
        <w:rPr>
          <w:snapToGrid w:val="0"/>
          <w:szCs w:val="20"/>
        </w:rPr>
        <w:t>ŘO OPD bude informovat příjemce o datu, kdy začíná běžet lhůta pro dostupnost dokladů až po dokončení projektu.</w:t>
      </w:r>
      <w:r w:rsidRPr="00657E25">
        <w:rPr>
          <w:snapToGrid w:val="0"/>
        </w:rPr>
        <w:t xml:space="preserve"> </w:t>
      </w:r>
      <w:r w:rsidRPr="005D24C5">
        <w:rPr>
          <w:snapToGrid w:val="0"/>
          <w:szCs w:val="20"/>
        </w:rPr>
        <w:t>Pokud jsou v českých předpisech stanovené odlišné lhůty pro uschovávání dokumentů, než jsou stanoveny v evropských předpisech, platí vždy pro  uschování dokumentů ta lhůta, která je delší.</w:t>
      </w:r>
      <w:r>
        <w:rPr>
          <w:snapToGrid w:val="0"/>
        </w:rPr>
        <w:t xml:space="preserve"> </w:t>
      </w:r>
      <w:r w:rsidRPr="00713AF0">
        <w:rPr>
          <w:snapToGrid w:val="0"/>
        </w:rPr>
        <w:t>Tímto ustanovením</w:t>
      </w:r>
      <w:r>
        <w:rPr>
          <w:snapToGrid w:val="0"/>
        </w:rPr>
        <w:t xml:space="preserve"> Obecného nařízení</w:t>
      </w:r>
      <w:r w:rsidRPr="00713AF0">
        <w:rPr>
          <w:snapToGrid w:val="0"/>
        </w:rPr>
        <w:t xml:space="preserve"> nejsou dotčena pravidla týkající se veřejné podpory.</w:t>
      </w:r>
    </w:p>
    <w:p w:rsidR="00DE62EB" w:rsidRPr="005D24C5" w:rsidRDefault="00DE62EB" w:rsidP="00DE62EB">
      <w:pPr>
        <w:widowControl w:val="0"/>
        <w:ind w:left="360" w:right="-2"/>
        <w:jc w:val="both"/>
        <w:rPr>
          <w:snapToGrid w:val="0"/>
          <w:szCs w:val="20"/>
        </w:rPr>
      </w:pPr>
      <w:r w:rsidRPr="005D24C5">
        <w:rPr>
          <w:snapToGrid w:val="0"/>
          <w:szCs w:val="20"/>
        </w:rPr>
        <w:t>Z výše uvedených termínů vyplývajících z nařízení EK platí ten, který bude ukončen později.</w:t>
      </w:r>
    </w:p>
    <w:p w:rsidR="00DE62EB" w:rsidRDefault="00DE62EB" w:rsidP="00DE62EB">
      <w:pPr>
        <w:spacing w:before="240"/>
        <w:ind w:left="360" w:right="-2"/>
        <w:jc w:val="both"/>
        <w:rPr>
          <w:sz w:val="23"/>
          <w:szCs w:val="23"/>
        </w:rPr>
      </w:pPr>
      <w:r w:rsidRPr="00595E38">
        <w:rPr>
          <w:snapToGrid w:val="0"/>
        </w:rPr>
        <w:t>Každý originál faktury</w:t>
      </w:r>
      <w:r w:rsidRPr="00657E25">
        <w:rPr>
          <w:snapToGrid w:val="0"/>
        </w:rPr>
        <w:t xml:space="preserve"> musí obsahovat </w:t>
      </w:r>
      <w:r>
        <w:rPr>
          <w:snapToGrid w:val="0"/>
        </w:rPr>
        <w:t>název</w:t>
      </w:r>
      <w:r w:rsidRPr="00657E25">
        <w:rPr>
          <w:snapToGrid w:val="0"/>
        </w:rPr>
        <w:t xml:space="preserve"> a registrační číslo projektu. </w:t>
      </w:r>
    </w:p>
    <w:p w:rsidR="00DE62EB" w:rsidRPr="00EE1088" w:rsidRDefault="00DE62EB" w:rsidP="00DE62EB">
      <w:pPr>
        <w:numPr>
          <w:ilvl w:val="0"/>
          <w:numId w:val="5"/>
        </w:numPr>
        <w:spacing w:before="240"/>
        <w:ind w:right="-2"/>
        <w:jc w:val="both"/>
        <w:rPr>
          <w:sz w:val="23"/>
          <w:szCs w:val="23"/>
        </w:rPr>
      </w:pPr>
      <w:r w:rsidRPr="00EE1088">
        <w:rPr>
          <w:snapToGrid w:val="0"/>
        </w:rPr>
        <w:t>Příjemce je povinen respektovat zákaz duplicitního financování výdaje, jenž bude financován z této dotace, z jiných Evropských strukturálních a investičních fondů (dále jen ESIF), z jiných nástrojů Evropské unie, z téhož fondu v rámci jiného programu</w:t>
      </w:r>
      <w:r>
        <w:rPr>
          <w:snapToGrid w:val="0"/>
        </w:rPr>
        <w:t xml:space="preserve"> nebo z </w:t>
      </w:r>
      <w:r w:rsidRPr="00EE1088">
        <w:rPr>
          <w:snapToGrid w:val="0"/>
        </w:rPr>
        <w:t>jiných zahraničních prostředků nebo národních veřejných prostředků. Příjemce je povinen zajistit publicitu prostředků strukturálních fondů na financování projektu v souladu s kapitolou pro provádění informačních a propagačních opatření, která je součástí Pravidel pro žadatele a příjemce OPD 2014-2020.</w:t>
      </w:r>
    </w:p>
    <w:p w:rsidR="00DE62EB" w:rsidRDefault="00DE62EB" w:rsidP="00DE62EB">
      <w:pPr>
        <w:numPr>
          <w:ilvl w:val="0"/>
          <w:numId w:val="5"/>
        </w:numPr>
        <w:spacing w:before="240"/>
        <w:ind w:right="-2"/>
        <w:jc w:val="both"/>
        <w:rPr>
          <w:snapToGrid w:val="0"/>
        </w:rPr>
      </w:pPr>
      <w:r w:rsidRPr="00CD602E">
        <w:rPr>
          <w:snapToGrid w:val="0"/>
        </w:rPr>
        <w:t xml:space="preserve">Pokud příjemce odstoupí </w:t>
      </w:r>
      <w:r w:rsidRPr="00795BC8">
        <w:rPr>
          <w:snapToGrid w:val="0"/>
        </w:rPr>
        <w:t>od projektu</w:t>
      </w:r>
      <w:r>
        <w:rPr>
          <w:snapToGrid w:val="0"/>
        </w:rPr>
        <w:t xml:space="preserve"> před konečným datem naplnění účelu, je povinen již</w:t>
      </w:r>
      <w:r w:rsidRPr="00D16E0F">
        <w:rPr>
          <w:snapToGrid w:val="0"/>
        </w:rPr>
        <w:t xml:space="preserve"> </w:t>
      </w:r>
      <w:r>
        <w:rPr>
          <w:snapToGrid w:val="0"/>
        </w:rPr>
        <w:t>proplacenou</w:t>
      </w:r>
      <w:r w:rsidRPr="00D16E0F">
        <w:rPr>
          <w:snapToGrid w:val="0"/>
        </w:rPr>
        <w:t xml:space="preserve"> </w:t>
      </w:r>
      <w:r>
        <w:rPr>
          <w:snapToGrid w:val="0"/>
        </w:rPr>
        <w:t>částku vrátit</w:t>
      </w:r>
      <w:r w:rsidRPr="00D16E0F">
        <w:rPr>
          <w:snapToGrid w:val="0"/>
        </w:rPr>
        <w:t xml:space="preserve">. </w:t>
      </w:r>
    </w:p>
    <w:p w:rsidR="00DE62EB" w:rsidRDefault="00DE62EB" w:rsidP="00DE62EB">
      <w:pPr>
        <w:widowControl w:val="0"/>
        <w:numPr>
          <w:ilvl w:val="0"/>
          <w:numId w:val="5"/>
        </w:numPr>
        <w:ind w:right="-2"/>
        <w:jc w:val="both"/>
        <w:rPr>
          <w:snapToGrid w:val="0"/>
        </w:rPr>
      </w:pPr>
      <w:r w:rsidRPr="002B15BE">
        <w:rPr>
          <w:snapToGrid w:val="0"/>
        </w:rPr>
        <w:t>Příjemce je povinen při výběru nových zaměstnanců implementujících fondy</w:t>
      </w:r>
      <w:r>
        <w:rPr>
          <w:snapToGrid w:val="0"/>
        </w:rPr>
        <w:t xml:space="preserve"> </w:t>
      </w:r>
      <w:r w:rsidRPr="002B15BE">
        <w:rPr>
          <w:snapToGrid w:val="0"/>
        </w:rPr>
        <w:t>EU</w:t>
      </w:r>
      <w:r>
        <w:rPr>
          <w:snapToGrid w:val="0"/>
        </w:rPr>
        <w:t xml:space="preserve"> (týká se projektů, které obsahují mzdové výdaje) </w:t>
      </w:r>
      <w:r w:rsidRPr="002B15BE">
        <w:rPr>
          <w:snapToGrid w:val="0"/>
        </w:rPr>
        <w:t>postupovat</w:t>
      </w:r>
      <w:r>
        <w:rPr>
          <w:snapToGrid w:val="0"/>
        </w:rPr>
        <w:t xml:space="preserve"> </w:t>
      </w:r>
      <w:r w:rsidRPr="00A4786A">
        <w:rPr>
          <w:snapToGrid w:val="0"/>
        </w:rPr>
        <w:t>v případě služebního poměru v souladu s požadavky zákona č.</w:t>
      </w:r>
      <w:r>
        <w:rPr>
          <w:snapToGrid w:val="0"/>
        </w:rPr>
        <w:t xml:space="preserve"> </w:t>
      </w:r>
      <w:r w:rsidRPr="00A4786A">
        <w:rPr>
          <w:snapToGrid w:val="0"/>
        </w:rPr>
        <w:t>234/2014 Sb., o státní službě,</w:t>
      </w:r>
      <w:r>
        <w:rPr>
          <w:snapToGrid w:val="0"/>
        </w:rPr>
        <w:t xml:space="preserve"> ve znění pozdějších předpisů, </w:t>
      </w:r>
      <w:r w:rsidRPr="00A4786A">
        <w:rPr>
          <w:snapToGrid w:val="0"/>
        </w:rPr>
        <w:t>vč. prováděcích a služebních předpisů.</w:t>
      </w:r>
      <w:r>
        <w:rPr>
          <w:snapToGrid w:val="0"/>
        </w:rPr>
        <w:t xml:space="preserve"> U zaměstnanců v pracovním poměru je příjemce </w:t>
      </w:r>
      <w:r>
        <w:rPr>
          <w:snapToGrid w:val="0"/>
        </w:rPr>
        <w:lastRenderedPageBreak/>
        <w:t xml:space="preserve">povinen postupovat </w:t>
      </w:r>
      <w:r w:rsidRPr="002B15BE">
        <w:rPr>
          <w:snapToGrid w:val="0"/>
        </w:rPr>
        <w:t xml:space="preserve">podle </w:t>
      </w:r>
      <w:r w:rsidRPr="00EB6E67">
        <w:t>Metodického pokynu k rozvoji lidských zdrojů v programovém období let 2014 až</w:t>
      </w:r>
      <w:r>
        <w:t xml:space="preserve"> </w:t>
      </w:r>
      <w:r w:rsidRPr="00EB6E67">
        <w:t>2020 a v programovém období 2007 až 2013</w:t>
      </w:r>
      <w:r>
        <w:t xml:space="preserve"> (dále jen „MP RLZ“)</w:t>
      </w:r>
      <w:r w:rsidRPr="002B15BE">
        <w:rPr>
          <w:snapToGrid w:val="0"/>
        </w:rPr>
        <w:t xml:space="preserve">. </w:t>
      </w:r>
    </w:p>
    <w:p w:rsidR="00DE62EB" w:rsidRPr="00EE1088" w:rsidRDefault="00DE62EB" w:rsidP="00DE62EB">
      <w:pPr>
        <w:widowControl w:val="0"/>
        <w:numPr>
          <w:ilvl w:val="0"/>
          <w:numId w:val="5"/>
        </w:numPr>
        <w:ind w:right="-2"/>
        <w:jc w:val="both"/>
        <w:rPr>
          <w:snapToGrid w:val="0"/>
        </w:rPr>
      </w:pPr>
      <w:r w:rsidRPr="00EE1088">
        <w:rPr>
          <w:snapToGrid w:val="0"/>
        </w:rPr>
        <w:t xml:space="preserve">Jestliže bude před zahrnutím </w:t>
      </w:r>
      <w:proofErr w:type="spellStart"/>
      <w:r w:rsidRPr="00EE1088">
        <w:rPr>
          <w:snapToGrid w:val="0"/>
        </w:rPr>
        <w:t>ŽoP</w:t>
      </w:r>
      <w:proofErr w:type="spellEnd"/>
      <w:r w:rsidRPr="00EE1088">
        <w:rPr>
          <w:snapToGrid w:val="0"/>
        </w:rPr>
        <w:t xml:space="preserve"> do souhrnné žádosti / po vyplacení dotace zjištěno, že příjemce nesplnil některou z povinností uvedených v této Specifikaci, vyhrazuje si Odbor fondů EU MD jako ŘO OPD právo rozhodnout v případech uvedení sazeb finančních oprav o stanovení finanční opravy ve snížené výši. Při nevyplacení resp. navrácení finanční podpory dotčené daným porušením bude ŘO </w:t>
      </w:r>
      <w:r w:rsidR="00726108">
        <w:rPr>
          <w:snapToGrid w:val="0"/>
        </w:rPr>
        <w:t xml:space="preserve">OPD </w:t>
      </w:r>
      <w:r w:rsidRPr="00EE1088">
        <w:rPr>
          <w:snapToGrid w:val="0"/>
        </w:rPr>
        <w:t>postupovat v souladu se zákonem č. 218/2000 Sb., o rozpočtových pravidlech a o změně některých souvisejících zákonů</w:t>
      </w:r>
      <w:r>
        <w:rPr>
          <w:snapToGrid w:val="0"/>
        </w:rPr>
        <w:t xml:space="preserve"> (rozpočtová pravidla)</w:t>
      </w:r>
      <w:r w:rsidRPr="00EE1088">
        <w:rPr>
          <w:snapToGrid w:val="0"/>
        </w:rPr>
        <w:t xml:space="preserve">, ve znění pozdějších předpisů.  </w:t>
      </w:r>
    </w:p>
    <w:p w:rsidR="00DE62EB" w:rsidRPr="00D77671" w:rsidRDefault="00DE62EB" w:rsidP="00DE62EB">
      <w:pPr>
        <w:widowControl w:val="0"/>
        <w:ind w:right="-2"/>
        <w:jc w:val="both"/>
        <w:rPr>
          <w:snapToGrid w:val="0"/>
          <w:highlight w:val="yellow"/>
        </w:rPr>
      </w:pPr>
      <w:r w:rsidRPr="00EE1088">
        <w:rPr>
          <w:snapToGrid w:val="0"/>
        </w:rPr>
        <w:t xml:space="preserve"> Sazby finančních oprav jsou specifikovány v následujících</w:t>
      </w:r>
      <w:r>
        <w:rPr>
          <w:snapToGrid w:val="0"/>
        </w:rPr>
        <w:t xml:space="preserve"> bodech a) – i</w:t>
      </w:r>
      <w:r w:rsidRPr="00EE1088">
        <w:rPr>
          <w:snapToGrid w:val="0"/>
        </w:rPr>
        <w:t>)</w:t>
      </w:r>
      <w:r>
        <w:rPr>
          <w:snapToGrid w:val="0"/>
        </w:rPr>
        <w:t>.</w:t>
      </w:r>
      <w:r w:rsidRPr="00EE1088">
        <w:rPr>
          <w:snapToGrid w:val="0"/>
        </w:rPr>
        <w:t> </w:t>
      </w:r>
    </w:p>
    <w:p w:rsidR="00DE62EB" w:rsidRDefault="00DE62EB" w:rsidP="00DE62EB">
      <w:pPr>
        <w:numPr>
          <w:ilvl w:val="0"/>
          <w:numId w:val="6"/>
        </w:numPr>
        <w:spacing w:before="240"/>
        <w:ind w:right="-2"/>
        <w:jc w:val="both"/>
        <w:rPr>
          <w:snapToGrid w:val="0"/>
        </w:rPr>
      </w:pPr>
      <w:r w:rsidRPr="00EE1088">
        <w:rPr>
          <w:snapToGrid w:val="0"/>
        </w:rPr>
        <w:t xml:space="preserve">Pokud v době </w:t>
      </w:r>
      <w:r w:rsidR="008C3357">
        <w:rPr>
          <w:snapToGrid w:val="0"/>
        </w:rPr>
        <w:t>trvalosti</w:t>
      </w:r>
      <w:r w:rsidRPr="00EE1088">
        <w:rPr>
          <w:rStyle w:val="Znakapoznpodarou"/>
          <w:snapToGrid w:val="0"/>
        </w:rPr>
        <w:footnoteReference w:id="14"/>
      </w:r>
      <w:r w:rsidRPr="00EE1088">
        <w:rPr>
          <w:snapToGrid w:val="0"/>
        </w:rPr>
        <w:t xml:space="preserve"> (u zcela nebo částečně investičních projektů) příjemce majetek získaný, byť i částečně z prostředků projektu, převede, prodá, pronajme, či bez souhlasu ŘO OPD zapůjčí jinému subjektu, nebude požadovaná částka vyplacena/vyplacená částka bude vymáhána zpět v plné výši.</w:t>
      </w:r>
    </w:p>
    <w:p w:rsidR="00DE62EB" w:rsidRDefault="00DE62EB" w:rsidP="00DE62EB">
      <w:pPr>
        <w:numPr>
          <w:ilvl w:val="0"/>
          <w:numId w:val="6"/>
        </w:numPr>
        <w:spacing w:before="240"/>
        <w:ind w:right="-2"/>
        <w:jc w:val="both"/>
        <w:rPr>
          <w:snapToGrid w:val="0"/>
        </w:rPr>
      </w:pPr>
      <w:r w:rsidRPr="00EE1088">
        <w:rPr>
          <w:snapToGrid w:val="0"/>
        </w:rPr>
        <w:t>Příjemce je povinen respektovat zákaz duplicitního financování výdaje, jenž bude financován z této dotace, z jiných ESIF, z jiných nástrojů Evropské unie, z téhož fondu v rámci jiného programu nebo z jiných zahraničních prostředků nebo národních veřejných prostředků. Při porušení zákazu duplicitního financování nebude požadovaná částka vyplacena/vyplacená částka bude vymáhána zpět v plné výši.</w:t>
      </w:r>
    </w:p>
    <w:p w:rsidR="00DE62EB" w:rsidRPr="00516C65" w:rsidRDefault="00DE62EB" w:rsidP="00DE62EB">
      <w:pPr>
        <w:numPr>
          <w:ilvl w:val="0"/>
          <w:numId w:val="6"/>
        </w:numPr>
        <w:spacing w:before="240"/>
        <w:ind w:right="-2"/>
        <w:jc w:val="both"/>
        <w:rPr>
          <w:snapToGrid w:val="0"/>
        </w:rPr>
      </w:pPr>
      <w:r w:rsidRPr="00516C65">
        <w:rPr>
          <w:snapToGrid w:val="0"/>
        </w:rPr>
        <w:t>Při zadávání (veřejných) zakázek je příjemce povinen postupovat v souladu s platnými právními předpisy</w:t>
      </w:r>
      <w:r>
        <w:rPr>
          <w:rStyle w:val="Znakapoznpodarou"/>
          <w:snapToGrid w:val="0"/>
        </w:rPr>
        <w:footnoteReference w:id="15"/>
      </w:r>
      <w:r w:rsidRPr="00516C65">
        <w:rPr>
          <w:snapToGrid w:val="0"/>
        </w:rPr>
        <w:t xml:space="preserve"> a Pravidly pro žadatele a příjemce OPD 2014 - 2020. V případě porušení této povinnosti nebude požadovaná částka vyplacena / bude vyplacená částka vymáhána zpět, případně nebude vyplacena / bude vymáhána zpět její část použitá na financování předmětné zakázky dle typu porušení a sazeb finančních oprav uvedených v následujících tabulkách.</w:t>
      </w:r>
    </w:p>
    <w:p w:rsidR="00DE62EB" w:rsidRDefault="00DE62EB" w:rsidP="00DE62EB">
      <w:pPr>
        <w:pStyle w:val="Zkladntext"/>
        <w:spacing w:after="120"/>
        <w:ind w:left="765"/>
        <w:jc w:val="both"/>
        <w:rPr>
          <w:szCs w:val="24"/>
        </w:rPr>
      </w:pPr>
      <w:r w:rsidRPr="00C83126">
        <w:rPr>
          <w:szCs w:val="24"/>
        </w:rPr>
        <w:t xml:space="preserve">Výše finanční opravy se vypočítá z částky, která </w:t>
      </w:r>
      <w:r w:rsidRPr="00516C65">
        <w:rPr>
          <w:szCs w:val="24"/>
        </w:rPr>
        <w:t>byla poskytnuta</w:t>
      </w:r>
      <w:r>
        <w:rPr>
          <w:szCs w:val="24"/>
        </w:rPr>
        <w:t xml:space="preserve"> </w:t>
      </w:r>
      <w:r w:rsidRPr="00C83126">
        <w:rPr>
          <w:szCs w:val="24"/>
        </w:rPr>
        <w:t>v souvislosti s</w:t>
      </w:r>
      <w:r>
        <w:rPr>
          <w:szCs w:val="24"/>
        </w:rPr>
        <w:t> </w:t>
      </w:r>
      <w:r w:rsidRPr="00C83126">
        <w:rPr>
          <w:szCs w:val="24"/>
        </w:rPr>
        <w:t>výběrovým</w:t>
      </w:r>
      <w:r>
        <w:rPr>
          <w:szCs w:val="24"/>
        </w:rPr>
        <w:t xml:space="preserve"> / zadávacím</w:t>
      </w:r>
      <w:r w:rsidRPr="00C83126">
        <w:rPr>
          <w:szCs w:val="24"/>
        </w:rPr>
        <w:t xml:space="preserve"> řízením, u</w:t>
      </w:r>
      <w:r>
        <w:rPr>
          <w:szCs w:val="24"/>
        </w:rPr>
        <w:t> </w:t>
      </w:r>
      <w:r w:rsidRPr="00C83126">
        <w:rPr>
          <w:szCs w:val="24"/>
        </w:rPr>
        <w:t xml:space="preserve">kterého se porušení pravidla vyskytlo. </w:t>
      </w:r>
    </w:p>
    <w:p w:rsidR="00DE62EB" w:rsidRPr="00C83126" w:rsidRDefault="00DE62EB" w:rsidP="00DE62EB">
      <w:pPr>
        <w:pStyle w:val="Zkladntext"/>
        <w:spacing w:after="120"/>
        <w:ind w:left="765"/>
        <w:jc w:val="both"/>
        <w:rPr>
          <w:szCs w:val="24"/>
        </w:rPr>
      </w:pPr>
      <w:r w:rsidRPr="00C83126">
        <w:rPr>
          <w:szCs w:val="24"/>
        </w:rPr>
        <w:t>Při rozhodování o sazbě finanční opravy, jež má být uplatněna</w:t>
      </w:r>
      <w:r>
        <w:rPr>
          <w:szCs w:val="24"/>
        </w:rPr>
        <w:t>,</w:t>
      </w:r>
      <w:r w:rsidRPr="00C83126">
        <w:rPr>
          <w:szCs w:val="24"/>
        </w:rPr>
        <w:t xml:space="preserve"> musí být zohledněna závažnost porušení pravidel uvedených v</w:t>
      </w:r>
      <w:r>
        <w:rPr>
          <w:szCs w:val="24"/>
        </w:rPr>
        <w:t> tabulkách níže:</w:t>
      </w:r>
    </w:p>
    <w:p w:rsidR="00DE62EB" w:rsidRPr="00C83126" w:rsidRDefault="00DE62EB" w:rsidP="00DE62EB">
      <w:pPr>
        <w:pStyle w:val="Zkladntext"/>
        <w:numPr>
          <w:ilvl w:val="0"/>
          <w:numId w:val="7"/>
        </w:numPr>
        <w:tabs>
          <w:tab w:val="num" w:pos="993"/>
        </w:tabs>
        <w:spacing w:after="120"/>
        <w:ind w:left="993" w:hanging="284"/>
        <w:jc w:val="both"/>
        <w:rPr>
          <w:szCs w:val="24"/>
        </w:rPr>
      </w:pPr>
      <w:r>
        <w:rPr>
          <w:szCs w:val="24"/>
        </w:rPr>
        <w:t>t</w:t>
      </w:r>
      <w:r w:rsidRPr="00C83126">
        <w:rPr>
          <w:szCs w:val="24"/>
        </w:rPr>
        <w:t xml:space="preserve">yto </w:t>
      </w:r>
      <w:r>
        <w:rPr>
          <w:szCs w:val="24"/>
        </w:rPr>
        <w:t>tabulky</w:t>
      </w:r>
      <w:r w:rsidRPr="00C83126">
        <w:rPr>
          <w:szCs w:val="24"/>
        </w:rPr>
        <w:t xml:space="preserve"> stanoví řadu oprav,</w:t>
      </w:r>
      <w:r>
        <w:rPr>
          <w:szCs w:val="24"/>
        </w:rPr>
        <w:t xml:space="preserve"> v rozmezí či minimální výši sazeb, </w:t>
      </w:r>
      <w:r w:rsidRPr="00C83126">
        <w:rPr>
          <w:szCs w:val="24"/>
        </w:rPr>
        <w:t xml:space="preserve">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w:t>
      </w:r>
      <w:r>
        <w:rPr>
          <w:szCs w:val="24"/>
        </w:rPr>
        <w:t>nční důsledky pro danou zakázku;</w:t>
      </w:r>
    </w:p>
    <w:p w:rsidR="00DE62EB" w:rsidRPr="00C83126" w:rsidRDefault="00DE62EB" w:rsidP="00DE62EB">
      <w:pPr>
        <w:pStyle w:val="Zkladntext"/>
        <w:numPr>
          <w:ilvl w:val="0"/>
          <w:numId w:val="7"/>
        </w:numPr>
        <w:tabs>
          <w:tab w:val="num" w:pos="993"/>
        </w:tabs>
        <w:spacing w:after="120"/>
        <w:ind w:left="993" w:hanging="284"/>
        <w:jc w:val="both"/>
        <w:rPr>
          <w:szCs w:val="24"/>
        </w:rPr>
      </w:pPr>
      <w:r>
        <w:rPr>
          <w:szCs w:val="24"/>
        </w:rPr>
        <w:t>z</w:t>
      </w:r>
      <w:r w:rsidRPr="00C83126">
        <w:rPr>
          <w:szCs w:val="24"/>
        </w:rPr>
        <w:t xml:space="preserve">ávažnost porušení pravidel uvedených v těchto </w:t>
      </w:r>
      <w:r>
        <w:rPr>
          <w:szCs w:val="24"/>
        </w:rPr>
        <w:t>tabulkách</w:t>
      </w:r>
      <w:r w:rsidRPr="00C83126">
        <w:rPr>
          <w:szCs w:val="24"/>
        </w:rPr>
        <w:t xml:space="preserve"> týkající se nedodržení pravidel o zadávání zakázek a související finanční dopad na rozpočet </w:t>
      </w:r>
      <w:r>
        <w:rPr>
          <w:szCs w:val="24"/>
        </w:rPr>
        <w:t xml:space="preserve">EU </w:t>
      </w:r>
      <w:r w:rsidRPr="00C83126">
        <w:rPr>
          <w:szCs w:val="24"/>
        </w:rPr>
        <w:t>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w:t>
      </w:r>
      <w:r>
        <w:rPr>
          <w:szCs w:val="24"/>
        </w:rPr>
        <w:t>atel, že jde o porušení závažné;</w:t>
      </w:r>
    </w:p>
    <w:p w:rsidR="00DE62EB" w:rsidRPr="00C83126" w:rsidRDefault="00DE62EB" w:rsidP="00DE62EB">
      <w:pPr>
        <w:pStyle w:val="Zkladntext"/>
        <w:numPr>
          <w:ilvl w:val="0"/>
          <w:numId w:val="7"/>
        </w:numPr>
        <w:tabs>
          <w:tab w:val="num" w:pos="993"/>
        </w:tabs>
        <w:spacing w:after="120"/>
        <w:ind w:left="993" w:hanging="284"/>
        <w:jc w:val="both"/>
        <w:rPr>
          <w:szCs w:val="24"/>
        </w:rPr>
      </w:pPr>
      <w:r>
        <w:rPr>
          <w:szCs w:val="24"/>
        </w:rPr>
        <w:lastRenderedPageBreak/>
        <w:t>j</w:t>
      </w:r>
      <w:r w:rsidRPr="00C83126">
        <w:rPr>
          <w:szCs w:val="24"/>
        </w:rPr>
        <w:t>e-li porušení pravidel pouze formální povahy bez skutečného nebo potenciálního finančního dopadu</w:t>
      </w:r>
      <w:r>
        <w:rPr>
          <w:szCs w:val="24"/>
        </w:rPr>
        <w:t>, nebude provedena žádná oprava;</w:t>
      </w:r>
    </w:p>
    <w:p w:rsidR="00DE62EB" w:rsidRPr="00C83126" w:rsidRDefault="00DE62EB" w:rsidP="00DE62EB">
      <w:pPr>
        <w:pStyle w:val="Zkladntext"/>
        <w:numPr>
          <w:ilvl w:val="0"/>
          <w:numId w:val="7"/>
        </w:numPr>
        <w:tabs>
          <w:tab w:val="num" w:pos="993"/>
        </w:tabs>
        <w:spacing w:after="120"/>
        <w:ind w:left="993" w:hanging="284"/>
        <w:jc w:val="both"/>
        <w:rPr>
          <w:szCs w:val="24"/>
        </w:rPr>
      </w:pPr>
      <w:r>
        <w:rPr>
          <w:szCs w:val="24"/>
        </w:rPr>
        <w:t>v</w:t>
      </w:r>
      <w:r w:rsidRPr="00C83126">
        <w:rPr>
          <w:szCs w:val="24"/>
        </w:rPr>
        <w:t>yskytne-li se v jednom výběrovém</w:t>
      </w:r>
      <w:r>
        <w:rPr>
          <w:szCs w:val="24"/>
        </w:rPr>
        <w:t>/zadávacím</w:t>
      </w:r>
      <w:r w:rsidRPr="00C83126">
        <w:rPr>
          <w:szCs w:val="24"/>
        </w:rPr>
        <w:t xml:space="preserve"> řízení více porušení pravidel uvedených v těchto </w:t>
      </w:r>
      <w:r>
        <w:rPr>
          <w:szCs w:val="24"/>
        </w:rPr>
        <w:t>tabulkách</w:t>
      </w:r>
      <w:r w:rsidRPr="00C83126">
        <w:rPr>
          <w:szCs w:val="24"/>
        </w:rPr>
        <w:t xml:space="preserve">, sazby oprav se nesčítají, ale zohlední se při rozhodování o sazbě opravy </w:t>
      </w:r>
      <w:r>
        <w:rPr>
          <w:szCs w:val="24"/>
        </w:rPr>
        <w:t>nejzávažnější porušení;</w:t>
      </w:r>
    </w:p>
    <w:p w:rsidR="00DE62EB" w:rsidRDefault="00DE62EB" w:rsidP="00DE62EB">
      <w:pPr>
        <w:pStyle w:val="Zkladntext"/>
        <w:numPr>
          <w:ilvl w:val="0"/>
          <w:numId w:val="7"/>
        </w:numPr>
        <w:tabs>
          <w:tab w:val="num" w:pos="993"/>
        </w:tabs>
        <w:spacing w:after="120"/>
        <w:ind w:left="993" w:hanging="284"/>
        <w:jc w:val="both"/>
        <w:rPr>
          <w:szCs w:val="24"/>
        </w:rPr>
      </w:pPr>
      <w:r>
        <w:rPr>
          <w:szCs w:val="24"/>
        </w:rPr>
        <w:t>f</w:t>
      </w:r>
      <w:r w:rsidRPr="00C83126">
        <w:rPr>
          <w:szCs w:val="24"/>
        </w:rPr>
        <w:t>inanční opravu ve výši 100 % je možné uplatnit v nejzávažnějších případech, kdy nesrovnalost zvýhodňuje určité uchazeče/zájemce</w:t>
      </w:r>
      <w:r>
        <w:rPr>
          <w:szCs w:val="24"/>
        </w:rPr>
        <w:t>,</w:t>
      </w:r>
      <w:r w:rsidRPr="00C83126">
        <w:rPr>
          <w:szCs w:val="24"/>
        </w:rPr>
        <w:t xml:space="preserve"> nebo kdy se nesrovnalost týká podvodu, jak určí příslušný soud</w:t>
      </w:r>
      <w:r>
        <w:rPr>
          <w:szCs w:val="24"/>
        </w:rPr>
        <w:t>.</w:t>
      </w:r>
    </w:p>
    <w:p w:rsidR="00DE62EB" w:rsidRPr="00C83126" w:rsidRDefault="00DE62EB" w:rsidP="00DE62EB">
      <w:pPr>
        <w:pStyle w:val="Mjstyl3"/>
        <w:numPr>
          <w:ilvl w:val="0"/>
          <w:numId w:val="0"/>
        </w:numPr>
        <w:spacing w:before="240"/>
        <w:ind w:left="431" w:hanging="431"/>
        <w:rPr>
          <w:rFonts w:ascii="Times New Roman" w:hAnsi="Times New Roman" w:cs="Times New Roman"/>
          <w:b/>
          <w:sz w:val="24"/>
          <w:szCs w:val="24"/>
        </w:rPr>
      </w:pPr>
      <w:r>
        <w:rPr>
          <w:snapToGrid w:val="0"/>
        </w:rPr>
        <w:br w:type="page"/>
      </w:r>
      <w:r>
        <w:rPr>
          <w:rFonts w:ascii="Times New Roman" w:hAnsi="Times New Roman" w:cs="Times New Roman"/>
          <w:b/>
          <w:sz w:val="24"/>
          <w:szCs w:val="24"/>
        </w:rPr>
        <w:lastRenderedPageBreak/>
        <w:t xml:space="preserve">Tabulka č. 1: </w:t>
      </w:r>
      <w:r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516"/>
        <w:gridCol w:w="2927"/>
        <w:gridCol w:w="2891"/>
        <w:gridCol w:w="2733"/>
      </w:tblGrid>
      <w:tr w:rsidR="00DE62EB" w:rsidRPr="007C5849" w:rsidTr="003B39F8">
        <w:trPr>
          <w:tblHeader/>
        </w:trPr>
        <w:tc>
          <w:tcPr>
            <w:tcW w:w="0" w:type="auto"/>
            <w:tcBorders>
              <w:top w:val="single" w:sz="4" w:space="0" w:color="000000"/>
              <w:left w:val="single" w:sz="4" w:space="0" w:color="000000"/>
              <w:bottom w:val="single" w:sz="4" w:space="0" w:color="000000"/>
              <w:right w:val="nil"/>
            </w:tcBorders>
            <w:hideMark/>
          </w:tcPr>
          <w:p w:rsidR="00DE62EB" w:rsidRPr="000601A7" w:rsidRDefault="00DE62EB" w:rsidP="003B39F8">
            <w:pPr>
              <w:suppressAutoHyphens/>
              <w:jc w:val="both"/>
              <w:rPr>
                <w:b/>
                <w:lang w:eastAsia="ar-SA"/>
              </w:rPr>
            </w:pPr>
          </w:p>
        </w:tc>
        <w:tc>
          <w:tcPr>
            <w:tcW w:w="2936" w:type="dxa"/>
            <w:tcBorders>
              <w:top w:val="single" w:sz="4" w:space="0" w:color="000000"/>
              <w:left w:val="single" w:sz="4" w:space="0" w:color="000000"/>
              <w:bottom w:val="single" w:sz="4" w:space="0" w:color="000000"/>
              <w:right w:val="single" w:sz="4" w:space="0" w:color="auto"/>
            </w:tcBorders>
            <w:hideMark/>
          </w:tcPr>
          <w:p w:rsidR="00DE62EB" w:rsidRPr="000601A7" w:rsidRDefault="00DE62EB" w:rsidP="003B39F8">
            <w:pPr>
              <w:suppressAutoHyphens/>
              <w:jc w:val="both"/>
              <w:rPr>
                <w:b/>
                <w:lang w:eastAsia="ar-SA"/>
              </w:rPr>
            </w:pPr>
            <w:r w:rsidRPr="000601A7">
              <w:rPr>
                <w:b/>
                <w:lang w:eastAsia="ar-SA"/>
              </w:rPr>
              <w:t>Typ porušení</w:t>
            </w:r>
          </w:p>
        </w:tc>
        <w:tc>
          <w:tcPr>
            <w:tcW w:w="2908" w:type="dxa"/>
            <w:tcBorders>
              <w:top w:val="single" w:sz="4" w:space="0" w:color="000000"/>
              <w:left w:val="single" w:sz="4" w:space="0" w:color="auto"/>
              <w:bottom w:val="single" w:sz="4" w:space="0" w:color="000000"/>
              <w:right w:val="nil"/>
            </w:tcBorders>
          </w:tcPr>
          <w:p w:rsidR="00DE62EB" w:rsidRPr="000601A7" w:rsidRDefault="00DE62EB" w:rsidP="003B39F8">
            <w:pPr>
              <w:suppressAutoHyphens/>
              <w:jc w:val="both"/>
              <w:rPr>
                <w:b/>
                <w:lang w:eastAsia="ar-SA"/>
              </w:rPr>
            </w:pPr>
            <w:r>
              <w:rPr>
                <w:b/>
                <w:lang w:eastAsia="ar-SA"/>
              </w:rPr>
              <w:t>Popis porušení</w:t>
            </w:r>
          </w:p>
        </w:tc>
        <w:tc>
          <w:tcPr>
            <w:tcW w:w="2757" w:type="dxa"/>
            <w:tcBorders>
              <w:top w:val="single" w:sz="4" w:space="0" w:color="000000"/>
              <w:left w:val="single" w:sz="4" w:space="0" w:color="000000"/>
              <w:bottom w:val="single" w:sz="4" w:space="0" w:color="000000"/>
              <w:right w:val="single" w:sz="4" w:space="0" w:color="000000"/>
            </w:tcBorders>
            <w:hideMark/>
          </w:tcPr>
          <w:p w:rsidR="00DE62EB" w:rsidRPr="000601A7" w:rsidRDefault="00DE62EB" w:rsidP="003B39F8">
            <w:pPr>
              <w:suppressAutoHyphens/>
              <w:jc w:val="both"/>
              <w:rPr>
                <w:b/>
                <w:lang w:eastAsia="ar-SA"/>
              </w:rPr>
            </w:pPr>
            <w:r w:rsidRPr="000601A7">
              <w:rPr>
                <w:b/>
                <w:lang w:eastAsia="ar-SA"/>
              </w:rPr>
              <w:t>Sazba finanční opravy</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37353D" w:rsidP="003B39F8">
            <w:pPr>
              <w:suppressAutoHyphens/>
              <w:jc w:val="both"/>
              <w:rPr>
                <w:lang w:eastAsia="ar-SA"/>
              </w:rPr>
            </w:pPr>
            <w:r w:rsidRPr="00C83126">
              <w:rPr>
                <w:lang w:eastAsia="ar-SA"/>
              </w:rPr>
              <w:fldChar w:fldCharType="begin"/>
            </w:r>
            <w:r w:rsidR="00DE62EB" w:rsidRPr="00C83126">
              <w:rPr>
                <w:lang w:eastAsia="ar-SA"/>
              </w:rPr>
              <w:instrText xml:space="preserve"> AUTONUM  \* Arabic </w:instrText>
            </w:r>
            <w:r w:rsidRPr="00C83126">
              <w:rPr>
                <w:lang w:eastAsia="ar-SA"/>
              </w:rPr>
              <w:fldChar w:fldCharType="end"/>
            </w:r>
          </w:p>
        </w:tc>
        <w:tc>
          <w:tcPr>
            <w:tcW w:w="2936" w:type="dxa"/>
            <w:tcBorders>
              <w:top w:val="single" w:sz="4" w:space="0" w:color="000000"/>
              <w:left w:val="single" w:sz="4" w:space="0" w:color="000000"/>
              <w:bottom w:val="single" w:sz="4" w:space="0" w:color="000000"/>
              <w:right w:val="single" w:sz="4" w:space="0" w:color="auto"/>
            </w:tcBorders>
            <w:hideMark/>
          </w:tcPr>
          <w:p w:rsidR="00DE62EB" w:rsidRPr="00C83126" w:rsidRDefault="00DE62EB" w:rsidP="003B39F8">
            <w:pPr>
              <w:tabs>
                <w:tab w:val="center" w:pos="4536"/>
                <w:tab w:val="right" w:pos="9072"/>
              </w:tabs>
              <w:suppressAutoHyphens/>
              <w:jc w:val="both"/>
            </w:pPr>
            <w:r w:rsidRPr="00C83126">
              <w:t>Nedodržení požadovaného způsobu zahájení výběrového</w:t>
            </w:r>
            <w:r>
              <w:t>/zadávacího</w:t>
            </w:r>
            <w:r w:rsidRPr="000601A7">
              <w:t xml:space="preserve"> řízení </w:t>
            </w:r>
          </w:p>
        </w:tc>
        <w:tc>
          <w:tcPr>
            <w:tcW w:w="2908" w:type="dxa"/>
            <w:tcBorders>
              <w:top w:val="single" w:sz="4" w:space="0" w:color="000000"/>
              <w:left w:val="single" w:sz="4" w:space="0" w:color="auto"/>
              <w:bottom w:val="single" w:sz="4" w:space="0" w:color="000000"/>
              <w:right w:val="nil"/>
            </w:tcBorders>
          </w:tcPr>
          <w:p w:rsidR="00DE62EB" w:rsidRPr="00C83126" w:rsidRDefault="00DE62EB" w:rsidP="003B39F8">
            <w:pPr>
              <w:tabs>
                <w:tab w:val="center" w:pos="4536"/>
                <w:tab w:val="right" w:pos="9072"/>
              </w:tabs>
              <w:suppressAutoHyphens/>
              <w:jc w:val="both"/>
            </w:pPr>
            <w:r w:rsidRPr="00E8109D">
              <w:t>Zakázka byla zadána, aniž by bylo uveřejněno nebo odesláno oznámení výběrového řízení.</w:t>
            </w:r>
          </w:p>
        </w:tc>
        <w:tc>
          <w:tcPr>
            <w:tcW w:w="275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lang w:eastAsia="ar-SA"/>
              </w:rPr>
            </w:pPr>
            <w:r w:rsidRPr="00C83126">
              <w:rPr>
                <w:lang w:eastAsia="ar-SA"/>
              </w:rPr>
              <w:t>100 % nebo</w:t>
            </w:r>
          </w:p>
          <w:p w:rsidR="00DE62EB" w:rsidRPr="00C83126" w:rsidRDefault="00DE62EB" w:rsidP="003B39F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37353D" w:rsidP="003B39F8">
            <w:pPr>
              <w:tabs>
                <w:tab w:val="center" w:pos="4536"/>
                <w:tab w:val="right" w:pos="9072"/>
              </w:tabs>
              <w:suppressAutoHyphens/>
              <w:jc w:val="both"/>
              <w:rPr>
                <w:lang w:eastAsia="ar-SA"/>
              </w:rPr>
            </w:pPr>
            <w:r w:rsidRPr="00C83126">
              <w:rPr>
                <w:lang w:eastAsia="ar-SA"/>
              </w:rPr>
              <w:fldChar w:fldCharType="begin"/>
            </w:r>
            <w:r w:rsidR="00DE62EB" w:rsidRPr="00C83126">
              <w:rPr>
                <w:lang w:eastAsia="ar-SA"/>
              </w:rPr>
              <w:instrText xml:space="preserve"> AUTONUM  \* Arabic </w:instrText>
            </w:r>
            <w:r w:rsidRPr="00C83126">
              <w:rPr>
                <w:lang w:eastAsia="ar-SA"/>
              </w:rPr>
              <w:fldChar w:fldCharType="end"/>
            </w:r>
          </w:p>
        </w:tc>
        <w:tc>
          <w:tcPr>
            <w:tcW w:w="2936" w:type="dxa"/>
            <w:tcBorders>
              <w:top w:val="single" w:sz="4" w:space="0" w:color="000000"/>
              <w:left w:val="single" w:sz="4" w:space="0" w:color="000000"/>
              <w:bottom w:val="single" w:sz="4" w:space="0" w:color="000000"/>
              <w:right w:val="single" w:sz="4" w:space="0" w:color="auto"/>
            </w:tcBorders>
            <w:hideMark/>
          </w:tcPr>
          <w:p w:rsidR="00DE62EB" w:rsidRDefault="00DE62EB" w:rsidP="003B39F8">
            <w:pPr>
              <w:tabs>
                <w:tab w:val="center" w:pos="4536"/>
                <w:tab w:val="right" w:pos="9072"/>
              </w:tabs>
              <w:suppressAutoHyphens/>
              <w:spacing w:after="60"/>
              <w:jc w:val="both"/>
              <w:rPr>
                <w:lang w:eastAsia="ar-SA"/>
              </w:rPr>
            </w:pPr>
            <w:r w:rsidRPr="00C83126">
              <w:rPr>
                <w:lang w:eastAsia="ar-SA"/>
              </w:rPr>
              <w:t>Umělé rozdělení předmětu zakázky</w:t>
            </w:r>
          </w:p>
          <w:p w:rsidR="00DE62EB" w:rsidRPr="00C83126" w:rsidRDefault="00DE62EB" w:rsidP="00DE62EB">
            <w:pPr>
              <w:pStyle w:val="Odstavecseseznamem"/>
              <w:numPr>
                <w:ilvl w:val="0"/>
                <w:numId w:val="7"/>
              </w:numPr>
              <w:ind w:left="419" w:hanging="357"/>
              <w:jc w:val="both"/>
            </w:pPr>
            <w:r w:rsidRPr="007E3B48">
              <w:t>Zadavatel rozdělil předmět zakázky tak, aby tím došlo ke snížení předpokládané hodnoty zakázky pod stanovené finanční limity</w:t>
            </w:r>
            <w:r>
              <w:t xml:space="preserve"> a jeho zadání je v mírnějším režimu, než je stanoven pro předmět zakázky před jejím rozdělením</w:t>
            </w:r>
            <w:r w:rsidRPr="007E3B48">
              <w:t>.</w:t>
            </w:r>
          </w:p>
        </w:tc>
        <w:tc>
          <w:tcPr>
            <w:tcW w:w="2908" w:type="dxa"/>
            <w:tcBorders>
              <w:top w:val="single" w:sz="4" w:space="0" w:color="000000"/>
              <w:left w:val="single" w:sz="4" w:space="0" w:color="auto"/>
              <w:bottom w:val="single" w:sz="4" w:space="0" w:color="000000"/>
              <w:right w:val="nil"/>
            </w:tcBorders>
          </w:tcPr>
          <w:p w:rsidR="00DE62EB" w:rsidRPr="00C83126" w:rsidRDefault="00DE62EB" w:rsidP="003B39F8">
            <w:pPr>
              <w:jc w:val="both"/>
            </w:pPr>
            <w:r w:rsidRPr="00E8109D">
              <w:t>Předmět zakázky je rozdělen tak, aby došlo ke snížení předpokládané hodnoty pod</w:t>
            </w:r>
            <w:r>
              <w:t xml:space="preserve"> stanovené </w:t>
            </w:r>
            <w:r w:rsidRPr="00E8109D">
              <w:t>limity a jeho zadání v mírnějším režimu, než je stanoven pro předmět zakázky před jejím rozdělením.</w:t>
            </w:r>
          </w:p>
        </w:tc>
        <w:tc>
          <w:tcPr>
            <w:tcW w:w="275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lang w:eastAsia="ar-SA"/>
              </w:rPr>
            </w:pPr>
            <w:r w:rsidRPr="00C83126">
              <w:rPr>
                <w:lang w:eastAsia="ar-SA"/>
              </w:rPr>
              <w:t>100 % nebo</w:t>
            </w:r>
          </w:p>
          <w:p w:rsidR="00DE62EB" w:rsidRPr="00C83126" w:rsidRDefault="00DE62EB" w:rsidP="003B39F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37353D" w:rsidP="003B39F8">
            <w:pPr>
              <w:tabs>
                <w:tab w:val="center" w:pos="4536"/>
                <w:tab w:val="right" w:pos="9072"/>
              </w:tabs>
              <w:suppressAutoHyphens/>
              <w:jc w:val="both"/>
              <w:rPr>
                <w:lang w:eastAsia="ar-SA"/>
              </w:rPr>
            </w:pPr>
            <w:r w:rsidRPr="00C83126">
              <w:rPr>
                <w:lang w:eastAsia="ar-SA"/>
              </w:rPr>
              <w:fldChar w:fldCharType="begin"/>
            </w:r>
            <w:r w:rsidR="00DE62EB" w:rsidRPr="00C83126">
              <w:rPr>
                <w:lang w:eastAsia="ar-SA"/>
              </w:rPr>
              <w:instrText xml:space="preserve"> AUTONUM  \* Arabic </w:instrText>
            </w:r>
            <w:r w:rsidRPr="00C83126">
              <w:rPr>
                <w:lang w:eastAsia="ar-SA"/>
              </w:rPr>
              <w:fldChar w:fldCharType="end"/>
            </w:r>
          </w:p>
        </w:tc>
        <w:tc>
          <w:tcPr>
            <w:tcW w:w="2936" w:type="dxa"/>
            <w:tcBorders>
              <w:top w:val="single" w:sz="4" w:space="0" w:color="000000"/>
              <w:left w:val="single" w:sz="4" w:space="0" w:color="000000"/>
              <w:bottom w:val="single" w:sz="4" w:space="0" w:color="000000"/>
              <w:right w:val="single" w:sz="4" w:space="0" w:color="auto"/>
            </w:tcBorders>
            <w:hideMark/>
          </w:tcPr>
          <w:p w:rsidR="00DE62EB" w:rsidRDefault="00DE62EB" w:rsidP="003B39F8">
            <w:pPr>
              <w:tabs>
                <w:tab w:val="center" w:pos="4536"/>
                <w:tab w:val="right" w:pos="9072"/>
              </w:tabs>
              <w:suppressAutoHyphens/>
              <w:jc w:val="both"/>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DE62EB" w:rsidRPr="00C83126" w:rsidRDefault="00DE62EB" w:rsidP="003B39F8">
            <w:pPr>
              <w:tabs>
                <w:tab w:val="center" w:pos="4536"/>
                <w:tab w:val="right" w:pos="9072"/>
              </w:tabs>
              <w:suppressAutoHyphens/>
              <w:ind w:left="360"/>
              <w:jc w:val="both"/>
              <w:rPr>
                <w:lang w:eastAsia="ar-SA"/>
              </w:rPr>
            </w:pPr>
          </w:p>
        </w:tc>
        <w:tc>
          <w:tcPr>
            <w:tcW w:w="2908" w:type="dxa"/>
            <w:tcBorders>
              <w:top w:val="single" w:sz="4" w:space="0" w:color="000000"/>
              <w:left w:val="single" w:sz="4" w:space="0" w:color="auto"/>
              <w:bottom w:val="single" w:sz="4" w:space="0" w:color="000000"/>
              <w:right w:val="nil"/>
            </w:tcBorders>
          </w:tcPr>
          <w:p w:rsidR="00DE62EB" w:rsidRDefault="00DE62EB" w:rsidP="003B39F8">
            <w:pPr>
              <w:tabs>
                <w:tab w:val="center" w:pos="4536"/>
                <w:tab w:val="right" w:pos="9072"/>
              </w:tabs>
              <w:suppressAutoHyphens/>
              <w:jc w:val="both"/>
              <w:rPr>
                <w:lang w:eastAsia="ar-SA"/>
              </w:rPr>
            </w:pPr>
            <w:r>
              <w:rPr>
                <w:lang w:eastAsia="ar-SA"/>
              </w:rPr>
              <w:t>Lhůty pro podání nabídek byly nižší než lhůty:</w:t>
            </w:r>
          </w:p>
          <w:p w:rsidR="00DE62EB" w:rsidRDefault="00DE62EB" w:rsidP="003B39F8">
            <w:pPr>
              <w:tabs>
                <w:tab w:val="center" w:pos="4536"/>
                <w:tab w:val="right" w:pos="9072"/>
              </w:tabs>
              <w:suppressAutoHyphens/>
              <w:jc w:val="both"/>
              <w:rPr>
                <w:lang w:eastAsia="ar-SA"/>
              </w:rPr>
            </w:pPr>
            <w:r>
              <w:rPr>
                <w:lang w:eastAsia="ar-SA"/>
              </w:rPr>
              <w:t>a) u zakázek malé hodnoty kratší než 10 kalendářních dnů</w:t>
            </w:r>
          </w:p>
          <w:p w:rsidR="00DE62EB" w:rsidRPr="00C83126" w:rsidRDefault="00DE62EB" w:rsidP="003B39F8">
            <w:pPr>
              <w:tabs>
                <w:tab w:val="center" w:pos="4536"/>
                <w:tab w:val="right" w:pos="9072"/>
              </w:tabs>
              <w:suppressAutoHyphens/>
              <w:jc w:val="both"/>
              <w:rPr>
                <w:lang w:eastAsia="ar-SA"/>
              </w:rPr>
            </w:pPr>
            <w:r>
              <w:rPr>
                <w:lang w:eastAsia="ar-SA"/>
              </w:rPr>
              <w:t>b) u zakázek vyšší hodnoty kratší než 15 kalendářních dnů a kratší než 35 kalendářních dnů v případě zakázek, jejichž předpokládaná hodnota dosáhne nejméně hodnoty nadlimitní veřejné zakázky pro sektorové zadavatele podle nařízení vlády č. 77/2008 Sb.</w:t>
            </w:r>
          </w:p>
        </w:tc>
        <w:tc>
          <w:tcPr>
            <w:tcW w:w="2757" w:type="dxa"/>
            <w:tcBorders>
              <w:top w:val="single" w:sz="4" w:space="0" w:color="000000"/>
              <w:left w:val="single" w:sz="4" w:space="0" w:color="000000"/>
              <w:bottom w:val="single" w:sz="4" w:space="0" w:color="000000"/>
              <w:right w:val="single" w:sz="4" w:space="0" w:color="000000"/>
            </w:tcBorders>
          </w:tcPr>
          <w:p w:rsidR="00DE62EB" w:rsidRPr="00C83126" w:rsidRDefault="00DE62EB" w:rsidP="003B39F8">
            <w:pPr>
              <w:tabs>
                <w:tab w:val="center" w:pos="4536"/>
                <w:tab w:val="right" w:pos="9072"/>
              </w:tabs>
              <w:suppressAutoHyphens/>
              <w:jc w:val="both"/>
              <w:rPr>
                <w:color w:val="222222"/>
              </w:rPr>
            </w:pPr>
            <w:r w:rsidRPr="00C83126">
              <w:rPr>
                <w:color w:val="222222"/>
              </w:rPr>
              <w:t>min. 25 %, pokud je délka lhůty kratší alespoň o 50 % její délky nebo</w:t>
            </w:r>
          </w:p>
          <w:p w:rsidR="00DE62EB" w:rsidRPr="00C83126" w:rsidRDefault="00DE62EB" w:rsidP="003B39F8">
            <w:pPr>
              <w:tabs>
                <w:tab w:val="center" w:pos="4536"/>
                <w:tab w:val="right" w:pos="9072"/>
              </w:tabs>
              <w:suppressAutoHyphens/>
              <w:jc w:val="both"/>
              <w:rPr>
                <w:color w:val="222222"/>
              </w:rPr>
            </w:pPr>
            <w:r w:rsidRPr="00C83126">
              <w:rPr>
                <w:color w:val="222222"/>
              </w:rPr>
              <w:t>min. 10 %, pokud je délka lhůty kratší alespoň o 30 % její délky nebo</w:t>
            </w:r>
          </w:p>
          <w:p w:rsidR="00DE62EB" w:rsidRPr="00AA609E" w:rsidRDefault="00DE62EB" w:rsidP="003B39F8">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DE62EB" w:rsidRPr="007C5849" w:rsidTr="003B39F8">
        <w:tc>
          <w:tcPr>
            <w:tcW w:w="0" w:type="auto"/>
            <w:tcBorders>
              <w:top w:val="single" w:sz="4" w:space="0" w:color="000000"/>
              <w:left w:val="single" w:sz="4" w:space="0" w:color="000000"/>
              <w:bottom w:val="single" w:sz="4" w:space="0" w:color="000000"/>
              <w:right w:val="nil"/>
            </w:tcBorders>
          </w:tcPr>
          <w:p w:rsidR="00DE62EB" w:rsidRPr="009C71A4" w:rsidRDefault="00DE62EB" w:rsidP="003B39F8">
            <w:pPr>
              <w:suppressAutoHyphens/>
              <w:jc w:val="both"/>
              <w:rPr>
                <w:lang w:eastAsia="ar-SA"/>
              </w:rPr>
            </w:pPr>
            <w:r>
              <w:rPr>
                <w:lang w:eastAsia="ar-SA"/>
              </w:rPr>
              <w:t>4.</w:t>
            </w:r>
          </w:p>
        </w:tc>
        <w:tc>
          <w:tcPr>
            <w:tcW w:w="2936" w:type="dxa"/>
            <w:tcBorders>
              <w:top w:val="single" w:sz="4" w:space="0" w:color="000000"/>
              <w:left w:val="single" w:sz="4" w:space="0" w:color="000000"/>
              <w:bottom w:val="single" w:sz="4" w:space="0" w:color="000000"/>
              <w:right w:val="single" w:sz="4" w:space="0" w:color="auto"/>
            </w:tcBorders>
          </w:tcPr>
          <w:p w:rsidR="00DE62EB" w:rsidRPr="00E8109D" w:rsidRDefault="00DE62EB" w:rsidP="003B39F8">
            <w:pPr>
              <w:tabs>
                <w:tab w:val="center" w:pos="4536"/>
                <w:tab w:val="right" w:pos="9072"/>
              </w:tabs>
              <w:suppressAutoHyphens/>
              <w:spacing w:after="60"/>
              <w:jc w:val="both"/>
              <w:rPr>
                <w:rStyle w:val="hps"/>
                <w:color w:val="222222"/>
              </w:rPr>
            </w:pPr>
            <w:r w:rsidRPr="00C83126">
              <w:rPr>
                <w:rStyle w:val="hps"/>
                <w:color w:val="222222"/>
              </w:rPr>
              <w:t xml:space="preserve">Nedostatečná doba </w:t>
            </w:r>
            <w:r>
              <w:rPr>
                <w:rStyle w:val="hps"/>
                <w:color w:val="222222"/>
              </w:rPr>
              <w:t>k opatření zadávací dokumentace</w:t>
            </w:r>
          </w:p>
        </w:tc>
        <w:tc>
          <w:tcPr>
            <w:tcW w:w="2908" w:type="dxa"/>
            <w:tcBorders>
              <w:top w:val="single" w:sz="4" w:space="0" w:color="000000"/>
              <w:left w:val="single" w:sz="4" w:space="0" w:color="auto"/>
              <w:bottom w:val="single" w:sz="4" w:space="0" w:color="000000"/>
              <w:right w:val="nil"/>
            </w:tcBorders>
          </w:tcPr>
          <w:p w:rsidR="00DE62EB" w:rsidRPr="00E8109D" w:rsidRDefault="00DE62EB" w:rsidP="003B39F8">
            <w:pPr>
              <w:tabs>
                <w:tab w:val="center" w:pos="4536"/>
                <w:tab w:val="right" w:pos="9072"/>
              </w:tabs>
              <w:suppressAutoHyphens/>
              <w:ind w:left="60"/>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57" w:type="dxa"/>
            <w:tcBorders>
              <w:top w:val="single" w:sz="4" w:space="0" w:color="000000"/>
              <w:left w:val="single" w:sz="4" w:space="0" w:color="000000"/>
              <w:bottom w:val="single" w:sz="4" w:space="0" w:color="000000"/>
              <w:right w:val="single" w:sz="4" w:space="0" w:color="000000"/>
            </w:tcBorders>
          </w:tcPr>
          <w:p w:rsidR="00DE62EB" w:rsidRPr="00C83126" w:rsidRDefault="00DE62EB" w:rsidP="003B39F8">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Pr>
                <w:color w:val="222222"/>
              </w:rPr>
              <w:t>50 % lhůty pro doručení nabídek</w:t>
            </w:r>
            <w:r w:rsidRPr="00C83126">
              <w:rPr>
                <w:color w:val="222222"/>
              </w:rPr>
              <w:t xml:space="preserve"> </w:t>
            </w:r>
          </w:p>
          <w:p w:rsidR="00DE62EB" w:rsidRPr="00C83126" w:rsidRDefault="00DE62EB" w:rsidP="003B39F8">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DE62EB" w:rsidRPr="00C83126" w:rsidRDefault="00DE62EB" w:rsidP="003B39F8">
            <w:pPr>
              <w:tabs>
                <w:tab w:val="center" w:pos="4536"/>
                <w:tab w:val="right" w:pos="9072"/>
              </w:tabs>
              <w:suppressAutoHyphens/>
              <w:jc w:val="both"/>
              <w:rPr>
                <w:color w:val="222222"/>
              </w:rPr>
            </w:pPr>
            <w:r w:rsidRPr="00C83126">
              <w:rPr>
                <w:color w:val="222222"/>
              </w:rPr>
              <w:lastRenderedPageBreak/>
              <w:t>min. 5 %, je-li doba, do kdy si dodavatelé musí opatřit</w:t>
            </w:r>
          </w:p>
          <w:p w:rsidR="00DE62EB" w:rsidRPr="009C71A4" w:rsidRDefault="00DE62EB" w:rsidP="003B39F8">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suppressAutoHyphens/>
              <w:jc w:val="both"/>
              <w:rPr>
                <w:lang w:eastAsia="ar-SA"/>
              </w:rPr>
            </w:pPr>
            <w:r>
              <w:rPr>
                <w:lang w:eastAsia="ar-SA"/>
              </w:rPr>
              <w:lastRenderedPageBreak/>
              <w:t>5.</w:t>
            </w:r>
          </w:p>
        </w:tc>
        <w:tc>
          <w:tcPr>
            <w:tcW w:w="2936" w:type="dxa"/>
            <w:tcBorders>
              <w:top w:val="single" w:sz="4" w:space="0" w:color="000000"/>
              <w:left w:val="single" w:sz="4" w:space="0" w:color="000000"/>
              <w:bottom w:val="single" w:sz="4" w:space="0" w:color="000000"/>
              <w:right w:val="single" w:sz="4" w:space="0" w:color="auto"/>
            </w:tcBorders>
            <w:hideMark/>
          </w:tcPr>
          <w:p w:rsidR="00DE62EB" w:rsidRPr="00E40569" w:rsidRDefault="00DE62EB" w:rsidP="003B39F8">
            <w:pPr>
              <w:tabs>
                <w:tab w:val="center" w:pos="4536"/>
                <w:tab w:val="right" w:pos="9072"/>
              </w:tabs>
              <w:suppressAutoHyphens/>
              <w:spacing w:after="60"/>
              <w:jc w:val="both"/>
              <w:rPr>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tc>
        <w:tc>
          <w:tcPr>
            <w:tcW w:w="2908" w:type="dxa"/>
            <w:tcBorders>
              <w:top w:val="single" w:sz="4" w:space="0" w:color="000000"/>
              <w:left w:val="single" w:sz="4" w:space="0" w:color="auto"/>
              <w:bottom w:val="single" w:sz="4" w:space="0" w:color="000000"/>
              <w:right w:val="nil"/>
            </w:tcBorders>
          </w:tcPr>
          <w:p w:rsidR="00DE62EB" w:rsidRPr="00C83126" w:rsidRDefault="00DE62EB" w:rsidP="003B39F8">
            <w:pPr>
              <w:tabs>
                <w:tab w:val="center" w:pos="4536"/>
                <w:tab w:val="right" w:pos="9072"/>
              </w:tabs>
              <w:suppressAutoHyphens/>
              <w:jc w:val="both"/>
              <w:rPr>
                <w:lang w:eastAsia="ar-SA"/>
              </w:rPr>
            </w:pPr>
            <w:r w:rsidRPr="00E40569">
              <w:rPr>
                <w:lang w:eastAsia="ar-SA"/>
              </w:rPr>
              <w:t>Došlo k prodloužení lhůty pro podání nabídek, ale toto prodloužení nebylo uveřejněno stejným způsobem, jakým bylo zahájeno výběrové řízení.</w:t>
            </w:r>
          </w:p>
        </w:tc>
        <w:tc>
          <w:tcPr>
            <w:tcW w:w="275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10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DE62EB" w:rsidRPr="007C5849" w:rsidTr="003B39F8">
        <w:trPr>
          <w:trHeight w:val="1037"/>
        </w:trPr>
        <w:tc>
          <w:tcPr>
            <w:tcW w:w="0" w:type="auto"/>
            <w:tcBorders>
              <w:top w:val="single" w:sz="4" w:space="0" w:color="auto"/>
              <w:left w:val="single" w:sz="4" w:space="0" w:color="auto"/>
              <w:bottom w:val="single" w:sz="4" w:space="0" w:color="auto"/>
              <w:right w:val="single" w:sz="4" w:space="0" w:color="auto"/>
            </w:tcBorders>
            <w:hideMark/>
          </w:tcPr>
          <w:p w:rsidR="00DE62EB" w:rsidRPr="00C83126" w:rsidRDefault="00DE62EB" w:rsidP="003B39F8">
            <w:pPr>
              <w:tabs>
                <w:tab w:val="center" w:pos="4536"/>
                <w:tab w:val="right" w:pos="9072"/>
              </w:tabs>
              <w:suppressAutoHyphens/>
              <w:jc w:val="both"/>
              <w:rPr>
                <w:lang w:eastAsia="ar-SA"/>
              </w:rPr>
            </w:pPr>
            <w:r>
              <w:rPr>
                <w:lang w:eastAsia="ar-SA"/>
              </w:rPr>
              <w:t>6.</w:t>
            </w:r>
          </w:p>
        </w:tc>
        <w:tc>
          <w:tcPr>
            <w:tcW w:w="2936" w:type="dxa"/>
            <w:tcBorders>
              <w:top w:val="single" w:sz="4" w:space="0" w:color="auto"/>
              <w:left w:val="single" w:sz="4" w:space="0" w:color="auto"/>
              <w:bottom w:val="single" w:sz="4" w:space="0" w:color="auto"/>
              <w:right w:val="single" w:sz="4" w:space="0" w:color="auto"/>
            </w:tcBorders>
            <w:hideMark/>
          </w:tcPr>
          <w:p w:rsidR="00DE62EB" w:rsidRPr="00E40569" w:rsidRDefault="00DE62EB" w:rsidP="003B39F8">
            <w:pPr>
              <w:tabs>
                <w:tab w:val="center" w:pos="4536"/>
                <w:tab w:val="right" w:pos="9072"/>
              </w:tabs>
              <w:suppressAutoHyphens/>
              <w:spacing w:after="60"/>
              <w:jc w:val="both"/>
              <w:rPr>
                <w:color w:val="222222"/>
              </w:rPr>
            </w:pPr>
            <w:r w:rsidRPr="00C83126">
              <w:rPr>
                <w:rStyle w:val="hps"/>
                <w:color w:val="222222"/>
              </w:rPr>
              <w:t>Neuvedení hodnotících kritérií v zadávacích podmínkách</w:t>
            </w:r>
          </w:p>
        </w:tc>
        <w:tc>
          <w:tcPr>
            <w:tcW w:w="2908" w:type="dxa"/>
            <w:tcBorders>
              <w:top w:val="single" w:sz="4" w:space="0" w:color="auto"/>
              <w:left w:val="single" w:sz="4" w:space="0" w:color="auto"/>
              <w:bottom w:val="single" w:sz="4" w:space="0" w:color="auto"/>
              <w:right w:val="single" w:sz="4" w:space="0" w:color="auto"/>
            </w:tcBorders>
          </w:tcPr>
          <w:p w:rsidR="00DE62EB" w:rsidRPr="00C83126" w:rsidRDefault="00DE62EB" w:rsidP="003B39F8">
            <w:pPr>
              <w:tabs>
                <w:tab w:val="center" w:pos="4536"/>
                <w:tab w:val="right" w:pos="9072"/>
              </w:tabs>
              <w:suppressAutoHyphens/>
              <w:ind w:left="60"/>
              <w:jc w:val="both"/>
              <w:rPr>
                <w:lang w:eastAsia="ar-SA"/>
              </w:rPr>
            </w:pPr>
            <w:r w:rsidRPr="00E40569">
              <w:rPr>
                <w:lang w:eastAsia="ar-SA"/>
              </w:rPr>
              <w:t>Hodnotící kritéria, případně jejich podrobná specifikace nejsou uvedena v zadávacích podmínkách.</w:t>
            </w:r>
          </w:p>
        </w:tc>
        <w:tc>
          <w:tcPr>
            <w:tcW w:w="2757" w:type="dxa"/>
            <w:tcBorders>
              <w:top w:val="single" w:sz="4" w:space="0" w:color="auto"/>
              <w:left w:val="single" w:sz="4" w:space="0" w:color="auto"/>
              <w:bottom w:val="single" w:sz="4" w:space="0" w:color="auto"/>
              <w:right w:val="single" w:sz="4" w:space="0" w:color="auto"/>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25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lang w:eastAsia="ar-SA"/>
              </w:rPr>
              <w:t xml:space="preserve">min. 10 </w:t>
            </w:r>
            <w:r>
              <w:rPr>
                <w:lang w:eastAsia="ar-SA"/>
              </w:rPr>
              <w:t xml:space="preserve">% </w:t>
            </w:r>
            <w:r w:rsidRPr="00C83126">
              <w:rPr>
                <w:lang w:eastAsia="ar-SA"/>
              </w:rPr>
              <w:t>nebo</w:t>
            </w:r>
            <w:r>
              <w:rPr>
                <w:lang w:eastAsia="ar-SA"/>
              </w:rPr>
              <w:t xml:space="preserve"> min.</w:t>
            </w:r>
            <w:r w:rsidRPr="00C83126">
              <w:rPr>
                <w:lang w:eastAsia="ar-SA"/>
              </w:rPr>
              <w:t xml:space="preserve"> 5 % pokud byla hodnotící kritéria v zadávacích podmínkách uvedena, ale nedostatečně podrobně popsána</w:t>
            </w:r>
          </w:p>
        </w:tc>
      </w:tr>
      <w:tr w:rsidR="00DE62EB" w:rsidRPr="007C5849" w:rsidTr="003B39F8">
        <w:trPr>
          <w:trHeight w:val="1037"/>
        </w:trPr>
        <w:tc>
          <w:tcPr>
            <w:tcW w:w="0" w:type="auto"/>
            <w:tcBorders>
              <w:top w:val="single" w:sz="4" w:space="0" w:color="auto"/>
              <w:left w:val="single" w:sz="4" w:space="0" w:color="auto"/>
              <w:bottom w:val="single" w:sz="4" w:space="0" w:color="auto"/>
              <w:right w:val="single" w:sz="4" w:space="0" w:color="auto"/>
            </w:tcBorders>
            <w:hideMark/>
          </w:tcPr>
          <w:p w:rsidR="00DE62EB" w:rsidRPr="00C83126" w:rsidRDefault="00DE62EB" w:rsidP="003B39F8">
            <w:pPr>
              <w:tabs>
                <w:tab w:val="center" w:pos="4536"/>
                <w:tab w:val="right" w:pos="9072"/>
              </w:tabs>
              <w:suppressAutoHyphens/>
              <w:jc w:val="both"/>
              <w:rPr>
                <w:lang w:eastAsia="ar-SA"/>
              </w:rPr>
            </w:pPr>
            <w:r>
              <w:rPr>
                <w:lang w:eastAsia="ar-SA"/>
              </w:rPr>
              <w:t>7.</w:t>
            </w:r>
          </w:p>
        </w:tc>
        <w:tc>
          <w:tcPr>
            <w:tcW w:w="2936" w:type="dxa"/>
            <w:tcBorders>
              <w:top w:val="single" w:sz="4" w:space="0" w:color="auto"/>
              <w:left w:val="single" w:sz="4" w:space="0" w:color="auto"/>
              <w:bottom w:val="single" w:sz="4" w:space="0" w:color="auto"/>
              <w:right w:val="single" w:sz="4" w:space="0" w:color="auto"/>
            </w:tcBorders>
            <w:hideMark/>
          </w:tcPr>
          <w:p w:rsidR="00DE62EB" w:rsidRDefault="00DE62EB" w:rsidP="003B39F8">
            <w:pPr>
              <w:tabs>
                <w:tab w:val="center" w:pos="4536"/>
                <w:tab w:val="right" w:pos="9072"/>
              </w:tabs>
              <w:suppressAutoHyphens/>
              <w:jc w:val="both"/>
              <w:rPr>
                <w:rStyle w:val="hps"/>
                <w:color w:val="222222"/>
              </w:rPr>
            </w:pPr>
            <w:r w:rsidRPr="00C83126">
              <w:rPr>
                <w:rStyle w:val="hps"/>
                <w:color w:val="222222"/>
              </w:rPr>
              <w:t>Diskriminační kvalifikační požadavky</w:t>
            </w:r>
          </w:p>
          <w:p w:rsidR="00DE62EB" w:rsidRPr="00C83126" w:rsidRDefault="00DE62EB" w:rsidP="003B39F8">
            <w:pPr>
              <w:pStyle w:val="Odstavecseseznamem"/>
              <w:tabs>
                <w:tab w:val="center" w:pos="4536"/>
                <w:tab w:val="right" w:pos="9072"/>
              </w:tabs>
              <w:suppressAutoHyphens/>
              <w:ind w:left="419"/>
              <w:jc w:val="both"/>
              <w:rPr>
                <w:lang w:eastAsia="ar-SA"/>
              </w:rPr>
            </w:pPr>
          </w:p>
        </w:tc>
        <w:tc>
          <w:tcPr>
            <w:tcW w:w="2908" w:type="dxa"/>
            <w:tcBorders>
              <w:top w:val="single" w:sz="4" w:space="0" w:color="auto"/>
              <w:left w:val="single" w:sz="4" w:space="0" w:color="auto"/>
              <w:bottom w:val="single" w:sz="4" w:space="0" w:color="auto"/>
              <w:right w:val="single" w:sz="4" w:space="0" w:color="auto"/>
            </w:tcBorders>
          </w:tcPr>
          <w:p w:rsidR="00DE62EB" w:rsidRDefault="00DE62EB" w:rsidP="003B39F8">
            <w:pPr>
              <w:tabs>
                <w:tab w:val="center" w:pos="4536"/>
                <w:tab w:val="right" w:pos="9072"/>
              </w:tabs>
              <w:suppressAutoHyphens/>
              <w:jc w:val="both"/>
              <w:rPr>
                <w:rStyle w:val="hps"/>
                <w:color w:val="222222"/>
              </w:rPr>
            </w:pPr>
            <w:r>
              <w:rPr>
                <w:rStyle w:val="hps"/>
                <w:color w:val="222222"/>
              </w:rPr>
              <w:t>Například:</w:t>
            </w:r>
          </w:p>
          <w:p w:rsidR="00DE62EB" w:rsidRPr="00580192" w:rsidRDefault="00DE62EB" w:rsidP="00DE62EB">
            <w:pPr>
              <w:pStyle w:val="Odstavecseseznamem"/>
              <w:numPr>
                <w:ilvl w:val="0"/>
                <w:numId w:val="13"/>
              </w:numPr>
              <w:tabs>
                <w:tab w:val="center" w:pos="4536"/>
                <w:tab w:val="right" w:pos="9072"/>
              </w:tabs>
              <w:suppressAutoHyphens/>
              <w:spacing w:after="0"/>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DE62EB" w:rsidRPr="00D15EF2" w:rsidRDefault="00DE62EB" w:rsidP="00DE62EB">
            <w:pPr>
              <w:pStyle w:val="Odstavecseseznamem"/>
              <w:numPr>
                <w:ilvl w:val="0"/>
                <w:numId w:val="13"/>
              </w:numPr>
              <w:tabs>
                <w:tab w:val="center" w:pos="4536"/>
                <w:tab w:val="right" w:pos="9072"/>
              </w:tabs>
              <w:suppressAutoHyphens/>
              <w:spacing w:after="0"/>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DE62EB" w:rsidRPr="00C83126" w:rsidRDefault="00DE62EB" w:rsidP="00DE62EB">
            <w:pPr>
              <w:pStyle w:val="Odstavecseseznamem"/>
              <w:numPr>
                <w:ilvl w:val="0"/>
                <w:numId w:val="13"/>
              </w:numPr>
              <w:tabs>
                <w:tab w:val="center" w:pos="4536"/>
                <w:tab w:val="right" w:pos="9072"/>
              </w:tabs>
              <w:suppressAutoHyphens/>
              <w:jc w:val="both"/>
              <w:rPr>
                <w:lang w:eastAsia="ar-SA"/>
              </w:rPr>
            </w:pPr>
            <w:r w:rsidRPr="0041599D">
              <w:rPr>
                <w:rStyle w:val="hps"/>
                <w:color w:val="222222"/>
              </w:rPr>
              <w:t>Stanovení kvalifikačních předpokladů, které neodpovídají předmětu zadávané zakázky.</w:t>
            </w:r>
          </w:p>
        </w:tc>
        <w:tc>
          <w:tcPr>
            <w:tcW w:w="2757" w:type="dxa"/>
            <w:tcBorders>
              <w:top w:val="single" w:sz="4" w:space="0" w:color="auto"/>
              <w:left w:val="single" w:sz="4" w:space="0" w:color="auto"/>
              <w:bottom w:val="single" w:sz="4" w:space="0" w:color="auto"/>
              <w:right w:val="single" w:sz="4" w:space="0" w:color="auto"/>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25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lang w:eastAsia="ar-SA"/>
              </w:rPr>
              <w:t xml:space="preserve">min. 10 % nebo </w:t>
            </w:r>
            <w:r>
              <w:rPr>
                <w:lang w:eastAsia="ar-SA"/>
              </w:rPr>
              <w:t xml:space="preserve">min. </w:t>
            </w:r>
            <w:r w:rsidRPr="00C83126">
              <w:rPr>
                <w:lang w:eastAsia="ar-SA"/>
              </w:rPr>
              <w:t>5 %</w:t>
            </w:r>
            <w:r w:rsidRPr="00C83126">
              <w:rPr>
                <w:color w:val="222222"/>
              </w:rPr>
              <w:t xml:space="preserve"> s</w:t>
            </w:r>
            <w:r>
              <w:rPr>
                <w:color w:val="222222"/>
              </w:rPr>
              <w:t> </w:t>
            </w:r>
            <w:r w:rsidRPr="00C83126">
              <w:rPr>
                <w:color w:val="222222"/>
              </w:rPr>
              <w:t>ohledem na závažnost porušení</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tabs>
                <w:tab w:val="center" w:pos="4536"/>
                <w:tab w:val="right" w:pos="9072"/>
              </w:tabs>
              <w:suppressAutoHyphens/>
              <w:jc w:val="both"/>
              <w:rPr>
                <w:lang w:eastAsia="ar-SA"/>
              </w:rPr>
            </w:pPr>
            <w:r>
              <w:rPr>
                <w:lang w:eastAsia="ar-SA"/>
              </w:rPr>
              <w:t>8.</w:t>
            </w:r>
          </w:p>
        </w:tc>
        <w:tc>
          <w:tcPr>
            <w:tcW w:w="2936" w:type="dxa"/>
            <w:tcBorders>
              <w:top w:val="single" w:sz="4" w:space="0" w:color="000000"/>
              <w:left w:val="single" w:sz="4" w:space="0" w:color="000000"/>
              <w:bottom w:val="single" w:sz="4" w:space="0" w:color="000000"/>
              <w:right w:val="single" w:sz="4" w:space="0" w:color="auto"/>
            </w:tcBorders>
            <w:hideMark/>
          </w:tcPr>
          <w:p w:rsidR="00DE62EB" w:rsidRDefault="00DE62EB" w:rsidP="003B39F8">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rovného zacházení, zákazu diskriminace a transparentnosti</w:t>
            </w:r>
          </w:p>
          <w:p w:rsidR="00DE62EB" w:rsidRPr="00580192" w:rsidRDefault="00DE62EB" w:rsidP="00DE62EB">
            <w:pPr>
              <w:pStyle w:val="Odstavecseseznamem"/>
              <w:numPr>
                <w:ilvl w:val="0"/>
                <w:numId w:val="13"/>
              </w:numPr>
              <w:tabs>
                <w:tab w:val="center" w:pos="4536"/>
                <w:tab w:val="right" w:pos="9072"/>
              </w:tabs>
              <w:suppressAutoHyphens/>
              <w:ind w:left="419" w:hanging="357"/>
              <w:jc w:val="both"/>
              <w:rPr>
                <w:color w:val="222222"/>
              </w:rPr>
            </w:pPr>
          </w:p>
        </w:tc>
        <w:tc>
          <w:tcPr>
            <w:tcW w:w="2908" w:type="dxa"/>
            <w:tcBorders>
              <w:top w:val="single" w:sz="4" w:space="0" w:color="000000"/>
              <w:left w:val="single" w:sz="4" w:space="0" w:color="auto"/>
              <w:bottom w:val="single" w:sz="4" w:space="0" w:color="000000"/>
              <w:right w:val="nil"/>
            </w:tcBorders>
          </w:tcPr>
          <w:p w:rsidR="00DE62EB" w:rsidRPr="0041599D" w:rsidRDefault="00DE62EB" w:rsidP="003B39F8">
            <w:pPr>
              <w:tabs>
                <w:tab w:val="center" w:pos="4536"/>
                <w:tab w:val="right" w:pos="9072"/>
              </w:tabs>
              <w:suppressAutoHyphens/>
              <w:ind w:left="62"/>
              <w:jc w:val="both"/>
              <w:rPr>
                <w:color w:val="222222"/>
              </w:rPr>
            </w:pPr>
            <w:r w:rsidRPr="0041599D">
              <w:rPr>
                <w:color w:val="222222"/>
              </w:rPr>
              <w:t>Stanovení hodnotících kritérií, která nevyjadřují vztah užitné hodnoty a ceny.</w:t>
            </w:r>
          </w:p>
        </w:tc>
        <w:tc>
          <w:tcPr>
            <w:tcW w:w="275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25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lang w:eastAsia="ar-SA"/>
              </w:rPr>
              <w:t>min. 10 % nebo</w:t>
            </w:r>
            <w:r>
              <w:rPr>
                <w:lang w:eastAsia="ar-SA"/>
              </w:rPr>
              <w:t xml:space="preserve"> min. </w:t>
            </w:r>
            <w:r w:rsidRPr="00C83126">
              <w:rPr>
                <w:lang w:eastAsia="ar-SA"/>
              </w:rPr>
              <w:t>5 %</w:t>
            </w:r>
            <w:r w:rsidRPr="00C83126">
              <w:rPr>
                <w:color w:val="222222"/>
              </w:rPr>
              <w:t xml:space="preserve"> s</w:t>
            </w:r>
            <w:r>
              <w:rPr>
                <w:color w:val="222222"/>
              </w:rPr>
              <w:t> </w:t>
            </w:r>
            <w:r w:rsidRPr="00C83126">
              <w:rPr>
                <w:color w:val="222222"/>
              </w:rPr>
              <w:t>ohledem na závažnost porušení</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tabs>
                <w:tab w:val="center" w:pos="4536"/>
                <w:tab w:val="right" w:pos="9072"/>
              </w:tabs>
              <w:suppressAutoHyphens/>
              <w:jc w:val="both"/>
              <w:rPr>
                <w:lang w:eastAsia="ar-SA"/>
              </w:rPr>
            </w:pPr>
            <w:r>
              <w:rPr>
                <w:lang w:eastAsia="ar-SA"/>
              </w:rPr>
              <w:t>9.</w:t>
            </w:r>
          </w:p>
        </w:tc>
        <w:tc>
          <w:tcPr>
            <w:tcW w:w="2936" w:type="dxa"/>
            <w:tcBorders>
              <w:top w:val="single" w:sz="4" w:space="0" w:color="000000"/>
              <w:left w:val="single" w:sz="4" w:space="0" w:color="000000"/>
              <w:bottom w:val="single" w:sz="4" w:space="0" w:color="000000"/>
              <w:right w:val="single" w:sz="4" w:space="0" w:color="auto"/>
            </w:tcBorders>
            <w:hideMark/>
          </w:tcPr>
          <w:p w:rsidR="00DE62EB" w:rsidRPr="00911F2E" w:rsidRDefault="00DE62EB" w:rsidP="003B39F8">
            <w:pPr>
              <w:tabs>
                <w:tab w:val="center" w:pos="4536"/>
                <w:tab w:val="right" w:pos="9072"/>
              </w:tabs>
              <w:suppressAutoHyphens/>
              <w:spacing w:after="60"/>
              <w:jc w:val="both"/>
              <w:rPr>
                <w:color w:val="222222"/>
              </w:rPr>
            </w:pPr>
            <w:r w:rsidRPr="00C83126">
              <w:rPr>
                <w:color w:val="222222"/>
              </w:rPr>
              <w:t>Diskriminační vymezení předmětu zakázky</w:t>
            </w:r>
          </w:p>
        </w:tc>
        <w:tc>
          <w:tcPr>
            <w:tcW w:w="2908" w:type="dxa"/>
            <w:tcBorders>
              <w:top w:val="single" w:sz="4" w:space="0" w:color="000000"/>
              <w:left w:val="single" w:sz="4" w:space="0" w:color="auto"/>
              <w:bottom w:val="single" w:sz="4" w:space="0" w:color="000000"/>
              <w:right w:val="nil"/>
            </w:tcBorders>
          </w:tcPr>
          <w:p w:rsidR="00DE62EB" w:rsidRPr="00C83126" w:rsidRDefault="00DE62EB" w:rsidP="003B39F8">
            <w:pPr>
              <w:tabs>
                <w:tab w:val="center" w:pos="4536"/>
                <w:tab w:val="right" w:pos="9072"/>
              </w:tabs>
              <w:suppressAutoHyphens/>
              <w:jc w:val="both"/>
              <w:rPr>
                <w:lang w:eastAsia="ar-SA"/>
              </w:rPr>
            </w:pPr>
            <w:r w:rsidRPr="00C83126">
              <w:rPr>
                <w:lang w:eastAsia="ar-SA"/>
              </w:rPr>
              <w:t xml:space="preserve">Předmět zakázky je v zadávacích podmínkách vymezen příliš konkrétně, tak že není zajištěn rovný přístup k jednotlivým dodavatelům, resp. někteří dodavatelé jsou takto </w:t>
            </w:r>
            <w:r w:rsidRPr="00C83126">
              <w:rPr>
                <w:lang w:eastAsia="ar-SA"/>
              </w:rPr>
              <w:lastRenderedPageBreak/>
              <w:t>vymezeným předmětem zakázky zvýhodněni.</w:t>
            </w:r>
          </w:p>
        </w:tc>
        <w:tc>
          <w:tcPr>
            <w:tcW w:w="275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lastRenderedPageBreak/>
              <w:t xml:space="preserve">min. 25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lang w:eastAsia="ar-SA"/>
              </w:rPr>
              <w:t xml:space="preserve">min. 10 % nebo </w:t>
            </w:r>
            <w:r>
              <w:rPr>
                <w:lang w:eastAsia="ar-SA"/>
              </w:rPr>
              <w:t xml:space="preserve">min. </w:t>
            </w:r>
            <w:r w:rsidRPr="00C83126">
              <w:rPr>
                <w:lang w:eastAsia="ar-SA"/>
              </w:rPr>
              <w:t>5 %</w:t>
            </w:r>
            <w:r w:rsidRPr="00C83126">
              <w:rPr>
                <w:color w:val="222222"/>
              </w:rPr>
              <w:t xml:space="preserve"> s</w:t>
            </w:r>
            <w:r>
              <w:rPr>
                <w:color w:val="222222"/>
              </w:rPr>
              <w:t> </w:t>
            </w:r>
            <w:r w:rsidRPr="00C83126">
              <w:rPr>
                <w:color w:val="222222"/>
              </w:rPr>
              <w:t>ohledem na závažnost porušení</w:t>
            </w:r>
          </w:p>
        </w:tc>
      </w:tr>
      <w:tr w:rsidR="00DE62EB" w:rsidRPr="007C5849" w:rsidTr="003B39F8">
        <w:trPr>
          <w:trHeight w:val="1037"/>
        </w:trPr>
        <w:tc>
          <w:tcPr>
            <w:tcW w:w="0" w:type="auto"/>
            <w:tcBorders>
              <w:top w:val="single" w:sz="4" w:space="0" w:color="auto"/>
              <w:left w:val="single" w:sz="4" w:space="0" w:color="auto"/>
              <w:bottom w:val="single" w:sz="4" w:space="0" w:color="auto"/>
              <w:right w:val="single" w:sz="4" w:space="0" w:color="auto"/>
            </w:tcBorders>
            <w:hideMark/>
          </w:tcPr>
          <w:p w:rsidR="00DE62EB" w:rsidRPr="00C83126" w:rsidRDefault="00DE62EB" w:rsidP="003B39F8">
            <w:pPr>
              <w:tabs>
                <w:tab w:val="center" w:pos="4536"/>
                <w:tab w:val="right" w:pos="9072"/>
              </w:tabs>
              <w:suppressAutoHyphens/>
              <w:jc w:val="both"/>
              <w:rPr>
                <w:lang w:eastAsia="ar-SA"/>
              </w:rPr>
            </w:pPr>
            <w:r>
              <w:rPr>
                <w:lang w:eastAsia="ar-SA"/>
              </w:rPr>
              <w:t>10.</w:t>
            </w:r>
          </w:p>
        </w:tc>
        <w:tc>
          <w:tcPr>
            <w:tcW w:w="2936" w:type="dxa"/>
            <w:tcBorders>
              <w:top w:val="single" w:sz="4" w:space="0" w:color="auto"/>
              <w:left w:val="single" w:sz="4" w:space="0" w:color="auto"/>
              <w:bottom w:val="single" w:sz="4" w:space="0" w:color="auto"/>
              <w:right w:val="single" w:sz="4" w:space="0" w:color="auto"/>
            </w:tcBorders>
            <w:hideMark/>
          </w:tcPr>
          <w:p w:rsidR="00DE62EB" w:rsidRPr="00911F2E" w:rsidRDefault="00DE62EB" w:rsidP="003B39F8">
            <w:pPr>
              <w:tabs>
                <w:tab w:val="center" w:pos="4536"/>
                <w:tab w:val="right" w:pos="9072"/>
              </w:tabs>
              <w:suppressAutoHyphens/>
              <w:spacing w:after="60"/>
              <w:jc w:val="both"/>
              <w:rPr>
                <w:color w:val="222222"/>
              </w:rPr>
            </w:pPr>
            <w:r w:rsidRPr="00C83126">
              <w:rPr>
                <w:color w:val="222222"/>
              </w:rPr>
              <w:t>Nedostatečné vymezení předmětu zakázky</w:t>
            </w:r>
          </w:p>
        </w:tc>
        <w:tc>
          <w:tcPr>
            <w:tcW w:w="2908" w:type="dxa"/>
            <w:tcBorders>
              <w:top w:val="single" w:sz="4" w:space="0" w:color="auto"/>
              <w:left w:val="single" w:sz="4" w:space="0" w:color="auto"/>
              <w:bottom w:val="single" w:sz="4" w:space="0" w:color="auto"/>
              <w:right w:val="single" w:sz="4" w:space="0" w:color="auto"/>
            </w:tcBorders>
          </w:tcPr>
          <w:p w:rsidR="00DE62EB" w:rsidRPr="00C83126" w:rsidRDefault="00DE62EB" w:rsidP="003B39F8">
            <w:pPr>
              <w:tabs>
                <w:tab w:val="center" w:pos="4536"/>
                <w:tab w:val="right" w:pos="9072"/>
              </w:tabs>
              <w:suppressAutoHyphens/>
              <w:ind w:left="62"/>
              <w:jc w:val="both"/>
              <w:rPr>
                <w:lang w:eastAsia="ar-SA"/>
              </w:rPr>
            </w:pPr>
            <w:r w:rsidRPr="00911F2E">
              <w:rPr>
                <w:lang w:eastAsia="ar-SA"/>
              </w:rPr>
              <w:t>Předmět zakázky je v zadávacích podmínkách vymezen nedostatečně, tak že zadávací podmínky neobsahují veškeré informace podstatné pro zpracování nabídky.</w:t>
            </w:r>
          </w:p>
        </w:tc>
        <w:tc>
          <w:tcPr>
            <w:tcW w:w="2757" w:type="dxa"/>
            <w:tcBorders>
              <w:top w:val="single" w:sz="4" w:space="0" w:color="auto"/>
              <w:left w:val="single" w:sz="4" w:space="0" w:color="auto"/>
              <w:bottom w:val="single" w:sz="4" w:space="0" w:color="auto"/>
              <w:right w:val="single" w:sz="4" w:space="0" w:color="auto"/>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10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lang w:eastAsia="ar-SA"/>
              </w:rPr>
              <w:t>min. 5 %</w:t>
            </w:r>
            <w:r w:rsidRPr="00C83126">
              <w:rPr>
                <w:color w:val="222222"/>
              </w:rPr>
              <w:t xml:space="preserve"> s ohledem na závažnost porušení</w:t>
            </w:r>
          </w:p>
        </w:tc>
      </w:tr>
    </w:tbl>
    <w:p w:rsidR="00DE62EB" w:rsidRPr="00C83126" w:rsidRDefault="00DE62EB" w:rsidP="00DE62EB">
      <w:pPr>
        <w:suppressAutoHyphens/>
        <w:jc w:val="both"/>
        <w:rPr>
          <w:lang w:eastAsia="ar-SA"/>
        </w:rPr>
      </w:pPr>
    </w:p>
    <w:p w:rsidR="00DE62EB" w:rsidRPr="00C83126" w:rsidRDefault="00DE62EB" w:rsidP="00DE62EB">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517"/>
        <w:gridCol w:w="2776"/>
        <w:gridCol w:w="3207"/>
        <w:gridCol w:w="2567"/>
      </w:tblGrid>
      <w:tr w:rsidR="00DE62EB" w:rsidRPr="007C5849" w:rsidTr="003B39F8">
        <w:trPr>
          <w:tblHeader/>
        </w:trPr>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suppressAutoHyphens/>
              <w:spacing w:after="240"/>
              <w:jc w:val="both"/>
              <w:rPr>
                <w:b/>
                <w:lang w:eastAsia="ar-SA"/>
              </w:rPr>
            </w:pPr>
          </w:p>
        </w:tc>
        <w:tc>
          <w:tcPr>
            <w:tcW w:w="2795" w:type="dxa"/>
            <w:tcBorders>
              <w:top w:val="single" w:sz="4" w:space="0" w:color="000000"/>
              <w:left w:val="single" w:sz="4" w:space="0" w:color="000000"/>
              <w:bottom w:val="single" w:sz="4" w:space="0" w:color="000000"/>
              <w:right w:val="single" w:sz="4" w:space="0" w:color="auto"/>
            </w:tcBorders>
            <w:hideMark/>
          </w:tcPr>
          <w:p w:rsidR="00DE62EB" w:rsidRPr="00C83126" w:rsidRDefault="00DE62EB" w:rsidP="003B39F8">
            <w:pPr>
              <w:suppressAutoHyphens/>
              <w:jc w:val="both"/>
              <w:rPr>
                <w:b/>
                <w:lang w:eastAsia="ar-SA"/>
              </w:rPr>
            </w:pPr>
            <w:r w:rsidRPr="00C83126">
              <w:rPr>
                <w:b/>
                <w:lang w:eastAsia="ar-SA"/>
              </w:rPr>
              <w:t>Typ porušení</w:t>
            </w:r>
          </w:p>
        </w:tc>
        <w:tc>
          <w:tcPr>
            <w:tcW w:w="3214" w:type="dxa"/>
            <w:tcBorders>
              <w:top w:val="single" w:sz="4" w:space="0" w:color="000000"/>
              <w:left w:val="single" w:sz="4" w:space="0" w:color="auto"/>
              <w:bottom w:val="single" w:sz="4" w:space="0" w:color="000000"/>
              <w:right w:val="nil"/>
            </w:tcBorders>
          </w:tcPr>
          <w:p w:rsidR="00DE62EB" w:rsidRPr="00C83126" w:rsidRDefault="00DE62EB" w:rsidP="003B39F8">
            <w:pPr>
              <w:suppressAutoHyphens/>
              <w:jc w:val="both"/>
              <w:rPr>
                <w:b/>
                <w:lang w:eastAsia="ar-SA"/>
              </w:rPr>
            </w:pPr>
            <w:r>
              <w:rPr>
                <w:b/>
                <w:lang w:eastAsia="ar-SA"/>
              </w:rPr>
              <w:t>Popis porušení</w:t>
            </w:r>
          </w:p>
        </w:tc>
        <w:tc>
          <w:tcPr>
            <w:tcW w:w="2592"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suppressAutoHyphens/>
              <w:jc w:val="both"/>
              <w:rPr>
                <w:b/>
                <w:lang w:eastAsia="ar-SA"/>
              </w:rPr>
            </w:pPr>
            <w:r w:rsidRPr="00C83126">
              <w:rPr>
                <w:b/>
                <w:lang w:eastAsia="ar-SA"/>
              </w:rPr>
              <w:t>Sazba finanční opravy</w:t>
            </w:r>
          </w:p>
        </w:tc>
      </w:tr>
      <w:tr w:rsidR="00DE62EB" w:rsidRPr="007C5849" w:rsidTr="003B39F8">
        <w:tc>
          <w:tcPr>
            <w:tcW w:w="0" w:type="auto"/>
            <w:tcBorders>
              <w:top w:val="single" w:sz="4" w:space="0" w:color="000000"/>
              <w:left w:val="single" w:sz="4" w:space="0" w:color="000000"/>
              <w:bottom w:val="single" w:sz="4" w:space="0" w:color="auto"/>
              <w:right w:val="nil"/>
            </w:tcBorders>
            <w:hideMark/>
          </w:tcPr>
          <w:p w:rsidR="00DE62EB" w:rsidRPr="00C83126" w:rsidRDefault="00DE62EB" w:rsidP="003B39F8">
            <w:pPr>
              <w:suppressAutoHyphens/>
              <w:spacing w:after="240"/>
              <w:jc w:val="both"/>
              <w:rPr>
                <w:lang w:eastAsia="ar-SA"/>
              </w:rPr>
            </w:pPr>
            <w:r>
              <w:rPr>
                <w:lang w:eastAsia="ar-SA"/>
              </w:rPr>
              <w:t>11.</w:t>
            </w:r>
          </w:p>
        </w:tc>
        <w:tc>
          <w:tcPr>
            <w:tcW w:w="2795" w:type="dxa"/>
            <w:tcBorders>
              <w:top w:val="single" w:sz="4" w:space="0" w:color="000000"/>
              <w:left w:val="single" w:sz="4" w:space="0" w:color="000000"/>
              <w:bottom w:val="single" w:sz="4" w:space="0" w:color="auto"/>
              <w:right w:val="single" w:sz="4" w:space="0" w:color="auto"/>
            </w:tcBorders>
            <w:hideMark/>
          </w:tcPr>
          <w:p w:rsidR="00DE62EB" w:rsidRPr="007F63F0" w:rsidRDefault="00DE62EB" w:rsidP="003B39F8">
            <w:pPr>
              <w:tabs>
                <w:tab w:val="center" w:pos="4536"/>
                <w:tab w:val="right" w:pos="9072"/>
              </w:tabs>
              <w:suppressAutoHyphens/>
              <w:spacing w:after="60"/>
              <w:jc w:val="both"/>
              <w:rPr>
                <w:color w:val="222222"/>
              </w:rPr>
            </w:pPr>
            <w:r w:rsidRPr="00C83126">
              <w:rPr>
                <w:color w:val="222222"/>
              </w:rPr>
              <w:t>Změna kvalifikačních požadavků po otevření obálek s</w:t>
            </w:r>
            <w:r>
              <w:rPr>
                <w:color w:val="222222"/>
              </w:rPr>
              <w:t> </w:t>
            </w:r>
            <w:r w:rsidRPr="00C83126">
              <w:rPr>
                <w:color w:val="222222"/>
              </w:rPr>
              <w:t>nabídkami</w:t>
            </w:r>
          </w:p>
        </w:tc>
        <w:tc>
          <w:tcPr>
            <w:tcW w:w="3214" w:type="dxa"/>
            <w:tcBorders>
              <w:top w:val="single" w:sz="4" w:space="0" w:color="000000"/>
              <w:left w:val="single" w:sz="4" w:space="0" w:color="auto"/>
              <w:bottom w:val="single" w:sz="4" w:space="0" w:color="auto"/>
              <w:right w:val="nil"/>
            </w:tcBorders>
          </w:tcPr>
          <w:p w:rsidR="00DE62EB" w:rsidRPr="007F63F0" w:rsidRDefault="00DE62EB" w:rsidP="003B39F8">
            <w:pPr>
              <w:tabs>
                <w:tab w:val="center" w:pos="4536"/>
                <w:tab w:val="right" w:pos="9072"/>
              </w:tabs>
              <w:suppressAutoHyphens/>
              <w:ind w:left="62"/>
              <w:jc w:val="both"/>
              <w:rPr>
                <w:color w:val="222222"/>
              </w:rPr>
            </w:pPr>
            <w:r w:rsidRPr="007F63F0">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592"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25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lang w:eastAsia="ar-SA"/>
              </w:rPr>
              <w:t xml:space="preserve">min. 10 % nebo </w:t>
            </w:r>
            <w:r>
              <w:rPr>
                <w:lang w:eastAsia="ar-SA"/>
              </w:rPr>
              <w:t xml:space="preserve">min. </w:t>
            </w:r>
            <w:r w:rsidRPr="00C83126">
              <w:rPr>
                <w:lang w:eastAsia="ar-SA"/>
              </w:rPr>
              <w:t>5 %</w:t>
            </w:r>
            <w:r w:rsidRPr="00C83126">
              <w:rPr>
                <w:color w:val="222222"/>
              </w:rPr>
              <w:t xml:space="preserve"> s</w:t>
            </w:r>
            <w:r>
              <w:rPr>
                <w:color w:val="222222"/>
              </w:rPr>
              <w:t> </w:t>
            </w:r>
            <w:r w:rsidRPr="00C83126">
              <w:rPr>
                <w:color w:val="222222"/>
              </w:rPr>
              <w:t>ohledem na závažnost porušení</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tabs>
                <w:tab w:val="center" w:pos="4536"/>
                <w:tab w:val="right" w:pos="9072"/>
              </w:tabs>
              <w:suppressAutoHyphens/>
              <w:spacing w:after="240"/>
              <w:jc w:val="both"/>
              <w:rPr>
                <w:lang w:eastAsia="ar-SA"/>
              </w:rPr>
            </w:pPr>
            <w:r>
              <w:rPr>
                <w:lang w:eastAsia="ar-SA"/>
              </w:rPr>
              <w:t>12.</w:t>
            </w:r>
          </w:p>
        </w:tc>
        <w:tc>
          <w:tcPr>
            <w:tcW w:w="2795" w:type="dxa"/>
            <w:tcBorders>
              <w:top w:val="single" w:sz="4" w:space="0" w:color="000000"/>
              <w:left w:val="single" w:sz="4" w:space="0" w:color="000000"/>
              <w:bottom w:val="single" w:sz="4" w:space="0" w:color="000000"/>
              <w:right w:val="single" w:sz="4" w:space="0" w:color="auto"/>
            </w:tcBorders>
            <w:hideMark/>
          </w:tcPr>
          <w:p w:rsidR="00DE62EB" w:rsidRPr="007F63F0" w:rsidRDefault="00DE62EB" w:rsidP="003B39F8">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tc>
        <w:tc>
          <w:tcPr>
            <w:tcW w:w="3214" w:type="dxa"/>
            <w:tcBorders>
              <w:top w:val="single" w:sz="4" w:space="0" w:color="000000"/>
              <w:left w:val="single" w:sz="4" w:space="0" w:color="auto"/>
              <w:bottom w:val="single" w:sz="4" w:space="0" w:color="000000"/>
              <w:right w:val="nil"/>
            </w:tcBorders>
          </w:tcPr>
          <w:p w:rsidR="00DE62EB" w:rsidRPr="007F63F0" w:rsidRDefault="00DE62EB" w:rsidP="003B39F8">
            <w:pPr>
              <w:tabs>
                <w:tab w:val="center" w:pos="4536"/>
                <w:tab w:val="right" w:pos="9072"/>
              </w:tabs>
              <w:suppressAutoHyphens/>
              <w:jc w:val="both"/>
              <w:rPr>
                <w:color w:val="222222"/>
              </w:rPr>
            </w:pPr>
            <w:r w:rsidRPr="007F63F0">
              <w:rPr>
                <w:color w:val="222222"/>
              </w:rPr>
              <w:t>Při hodnocení nabídek byla použita jiná hodnotící kritéria případně sub-kritéria nebo jejich váhy, než byla uvedena v zadávacích podmínkách a tato skutečnost měla vliv na výběr nejvhodnější nabídky.</w:t>
            </w:r>
          </w:p>
        </w:tc>
        <w:tc>
          <w:tcPr>
            <w:tcW w:w="2592"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25 </w:t>
            </w:r>
            <w:r w:rsidRPr="00C83126">
              <w:rPr>
                <w:color w:val="222222"/>
              </w:rPr>
              <w:t>% nebo</w:t>
            </w:r>
          </w:p>
          <w:p w:rsidR="00DE62EB" w:rsidRPr="00C83126" w:rsidRDefault="00DE62EB" w:rsidP="003B39F8">
            <w:pPr>
              <w:tabs>
                <w:tab w:val="center" w:pos="4536"/>
                <w:tab w:val="right" w:pos="9072"/>
              </w:tabs>
              <w:suppressAutoHyphens/>
              <w:jc w:val="both"/>
              <w:rPr>
                <w:lang w:eastAsia="ar-SA"/>
              </w:rPr>
            </w:pPr>
            <w:r w:rsidRPr="00C83126">
              <w:rPr>
                <w:lang w:eastAsia="ar-SA"/>
              </w:rPr>
              <w:t xml:space="preserve">min. 10 % nebo </w:t>
            </w:r>
            <w:r>
              <w:rPr>
                <w:lang w:eastAsia="ar-SA"/>
              </w:rPr>
              <w:t xml:space="preserve">min. </w:t>
            </w:r>
            <w:r w:rsidRPr="00C83126">
              <w:rPr>
                <w:lang w:eastAsia="ar-SA"/>
              </w:rPr>
              <w:t>5 %</w:t>
            </w:r>
            <w:r w:rsidRPr="00C83126">
              <w:rPr>
                <w:color w:val="222222"/>
              </w:rPr>
              <w:t xml:space="preserve"> s</w:t>
            </w:r>
            <w:r>
              <w:rPr>
                <w:color w:val="222222"/>
              </w:rPr>
              <w:t> </w:t>
            </w:r>
            <w:r w:rsidRPr="00C83126">
              <w:rPr>
                <w:color w:val="222222"/>
              </w:rPr>
              <w:t>ohledem na závažnost porušení</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tabs>
                <w:tab w:val="center" w:pos="4536"/>
                <w:tab w:val="right" w:pos="9072"/>
              </w:tabs>
              <w:suppressAutoHyphens/>
              <w:spacing w:after="240"/>
              <w:jc w:val="both"/>
              <w:rPr>
                <w:lang w:eastAsia="ar-SA"/>
              </w:rPr>
            </w:pPr>
            <w:r>
              <w:rPr>
                <w:lang w:eastAsia="ar-SA"/>
              </w:rPr>
              <w:t>13.</w:t>
            </w:r>
          </w:p>
        </w:tc>
        <w:tc>
          <w:tcPr>
            <w:tcW w:w="2795" w:type="dxa"/>
            <w:tcBorders>
              <w:top w:val="single" w:sz="4" w:space="0" w:color="000000"/>
              <w:left w:val="single" w:sz="4" w:space="0" w:color="000000"/>
              <w:bottom w:val="single" w:sz="4" w:space="0" w:color="000000"/>
              <w:right w:val="single" w:sz="4" w:space="0" w:color="auto"/>
            </w:tcBorders>
            <w:hideMark/>
          </w:tcPr>
          <w:p w:rsidR="00DE62EB" w:rsidRPr="007F63F0" w:rsidRDefault="00DE62EB" w:rsidP="003B39F8">
            <w:pPr>
              <w:tabs>
                <w:tab w:val="center" w:pos="4536"/>
                <w:tab w:val="right" w:pos="9072"/>
              </w:tabs>
              <w:suppressAutoHyphens/>
              <w:spacing w:after="60"/>
              <w:jc w:val="both"/>
              <w:rPr>
                <w:color w:val="222222"/>
              </w:rPr>
            </w:pPr>
            <w:r w:rsidRPr="00C83126">
              <w:rPr>
                <w:color w:val="222222"/>
              </w:rPr>
              <w:t>Netransparentní posouzení a/nebo hodnocení nabídek</w:t>
            </w:r>
          </w:p>
        </w:tc>
        <w:tc>
          <w:tcPr>
            <w:tcW w:w="3214" w:type="dxa"/>
            <w:tcBorders>
              <w:top w:val="single" w:sz="4" w:space="0" w:color="000000"/>
              <w:left w:val="single" w:sz="4" w:space="0" w:color="auto"/>
              <w:bottom w:val="single" w:sz="4" w:space="0" w:color="000000"/>
              <w:right w:val="nil"/>
            </w:tcBorders>
          </w:tcPr>
          <w:p w:rsidR="00DE62EB" w:rsidRPr="007F63F0" w:rsidRDefault="00DE62EB" w:rsidP="003B39F8">
            <w:pPr>
              <w:tabs>
                <w:tab w:val="center" w:pos="4536"/>
                <w:tab w:val="right" w:pos="9072"/>
              </w:tabs>
              <w:suppressAutoHyphens/>
              <w:jc w:val="both"/>
              <w:rPr>
                <w:color w:val="222222"/>
              </w:rPr>
            </w:pPr>
            <w:r w:rsidRPr="007F63F0">
              <w:rPr>
                <w:color w:val="222222"/>
              </w:rPr>
              <w:t xml:space="preserve">Protokol/zápis o hodnocení nabídek neexistuje nebo neobsahuje všechny následující náležitosti: </w:t>
            </w:r>
          </w:p>
          <w:p w:rsidR="00DE62EB" w:rsidRPr="00C83126" w:rsidRDefault="00DE62EB" w:rsidP="00DE62EB">
            <w:pPr>
              <w:pStyle w:val="Mjstyl4"/>
              <w:numPr>
                <w:ilvl w:val="0"/>
                <w:numId w:val="13"/>
              </w:numPr>
              <w:tabs>
                <w:tab w:val="num" w:pos="1134"/>
              </w:tabs>
              <w:spacing w:after="0"/>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DE62EB" w:rsidRPr="00C83126" w:rsidRDefault="00DE62EB" w:rsidP="00DE62EB">
            <w:pPr>
              <w:pStyle w:val="Mjstyl4"/>
              <w:numPr>
                <w:ilvl w:val="0"/>
                <w:numId w:val="13"/>
              </w:numPr>
              <w:tabs>
                <w:tab w:val="num" w:pos="1134"/>
              </w:tabs>
              <w:spacing w:after="0"/>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DE62EB" w:rsidRDefault="00DE62EB" w:rsidP="00DE62EB">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sidRPr="00C83126">
              <w:rPr>
                <w:sz w:val="20"/>
              </w:rPr>
              <w:t>seznam posouzených a vyřazených nabídek a zdůvodnění vyřazení nabídek, pokud</w:t>
            </w:r>
            <w:r>
              <w:rPr>
                <w:sz w:val="20"/>
              </w:rPr>
              <w:t xml:space="preserve"> byly nějaké nabídky vyřazeny; </w:t>
            </w:r>
          </w:p>
          <w:p w:rsidR="00DE62EB" w:rsidRPr="00C83126" w:rsidRDefault="00DE62EB" w:rsidP="00DE62EB">
            <w:pPr>
              <w:pStyle w:val="Zkladntext"/>
              <w:numPr>
                <w:ilvl w:val="0"/>
                <w:numId w:val="13"/>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sidRPr="00C83126">
              <w:rPr>
                <w:sz w:val="20"/>
              </w:rPr>
              <w:t xml:space="preserve">popis způsobu hodnocení nabídek; </w:t>
            </w:r>
          </w:p>
          <w:p w:rsidR="00DE62EB" w:rsidRPr="00C83126" w:rsidRDefault="00DE62EB" w:rsidP="00DE62EB">
            <w:pPr>
              <w:pStyle w:val="Zkladntext"/>
              <w:numPr>
                <w:ilvl w:val="0"/>
                <w:numId w:val="13"/>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sidRPr="00C83126">
              <w:rPr>
                <w:sz w:val="20"/>
              </w:rPr>
              <w:lastRenderedPageBreak/>
              <w:t xml:space="preserve">výsledek hodnocení; </w:t>
            </w:r>
          </w:p>
          <w:p w:rsidR="00DE62EB" w:rsidRPr="008B4388" w:rsidRDefault="00DE62EB" w:rsidP="00DE62EB">
            <w:pPr>
              <w:pStyle w:val="Zkladntext"/>
              <w:numPr>
                <w:ilvl w:val="0"/>
                <w:numId w:val="13"/>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sz w:val="20"/>
              </w:rPr>
            </w:pPr>
            <w:r w:rsidRPr="00C83126">
              <w:rPr>
                <w:sz w:val="20"/>
              </w:rPr>
              <w:t>údaj o složení hodnotící komise.</w:t>
            </w:r>
          </w:p>
        </w:tc>
        <w:tc>
          <w:tcPr>
            <w:tcW w:w="2592"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lastRenderedPageBreak/>
              <w:t xml:space="preserve">min. 25 </w:t>
            </w:r>
            <w:r w:rsidRPr="00C83126">
              <w:rPr>
                <w:color w:val="222222"/>
              </w:rPr>
              <w:t>% nebo</w:t>
            </w:r>
          </w:p>
          <w:p w:rsidR="00DE62EB" w:rsidRPr="00C83126" w:rsidRDefault="00DE62EB" w:rsidP="003B39F8">
            <w:pPr>
              <w:tabs>
                <w:tab w:val="center" w:pos="4536"/>
                <w:tab w:val="right" w:pos="9072"/>
              </w:tabs>
              <w:suppressAutoHyphens/>
              <w:spacing w:after="240"/>
              <w:jc w:val="both"/>
              <w:rPr>
                <w:lang w:eastAsia="ar-SA"/>
              </w:rPr>
            </w:pPr>
            <w:r w:rsidRPr="00C83126">
              <w:rPr>
                <w:lang w:eastAsia="ar-SA"/>
              </w:rPr>
              <w:t xml:space="preserve">min. 10 % nebo </w:t>
            </w:r>
            <w:r>
              <w:rPr>
                <w:lang w:eastAsia="ar-SA"/>
              </w:rPr>
              <w:t xml:space="preserve">min. </w:t>
            </w:r>
            <w:r w:rsidRPr="00C83126">
              <w:rPr>
                <w:lang w:eastAsia="ar-SA"/>
              </w:rPr>
              <w:t>5 %</w:t>
            </w:r>
            <w:r w:rsidRPr="00C83126">
              <w:rPr>
                <w:color w:val="222222"/>
              </w:rPr>
              <w:t xml:space="preserve"> s</w:t>
            </w:r>
            <w:r>
              <w:rPr>
                <w:color w:val="222222"/>
              </w:rPr>
              <w:t> </w:t>
            </w:r>
            <w:r w:rsidRPr="00C83126">
              <w:rPr>
                <w:color w:val="222222"/>
              </w:rPr>
              <w:t>ohledem na závažnost porušení</w:t>
            </w:r>
          </w:p>
        </w:tc>
      </w:tr>
      <w:tr w:rsidR="00DE62EB" w:rsidRPr="007C5849" w:rsidTr="003B39F8">
        <w:tc>
          <w:tcPr>
            <w:tcW w:w="0" w:type="auto"/>
            <w:tcBorders>
              <w:top w:val="single" w:sz="4" w:space="0" w:color="000000"/>
              <w:left w:val="single" w:sz="4" w:space="0" w:color="000000"/>
              <w:bottom w:val="single" w:sz="4" w:space="0" w:color="000000"/>
              <w:right w:val="nil"/>
            </w:tcBorders>
          </w:tcPr>
          <w:p w:rsidR="00DE62EB" w:rsidRDefault="00DE62EB" w:rsidP="003B39F8">
            <w:pPr>
              <w:tabs>
                <w:tab w:val="center" w:pos="4536"/>
                <w:tab w:val="right" w:pos="9072"/>
              </w:tabs>
              <w:suppressAutoHyphens/>
              <w:spacing w:after="240"/>
              <w:jc w:val="both"/>
              <w:rPr>
                <w:lang w:eastAsia="ar-SA"/>
              </w:rPr>
            </w:pPr>
            <w:r>
              <w:rPr>
                <w:lang w:eastAsia="ar-SA"/>
              </w:rPr>
              <w:t>14.</w:t>
            </w:r>
          </w:p>
        </w:tc>
        <w:tc>
          <w:tcPr>
            <w:tcW w:w="2795" w:type="dxa"/>
            <w:tcBorders>
              <w:top w:val="single" w:sz="4" w:space="0" w:color="000000"/>
              <w:left w:val="single" w:sz="4" w:space="0" w:color="000000"/>
              <w:bottom w:val="single" w:sz="4" w:space="0" w:color="000000"/>
              <w:right w:val="single" w:sz="4" w:space="0" w:color="auto"/>
            </w:tcBorders>
          </w:tcPr>
          <w:p w:rsidR="00DE62EB" w:rsidRPr="00C83126" w:rsidRDefault="00DE62EB" w:rsidP="003B39F8">
            <w:pPr>
              <w:tabs>
                <w:tab w:val="center" w:pos="4153"/>
                <w:tab w:val="center" w:pos="4536"/>
                <w:tab w:val="right" w:pos="8306"/>
                <w:tab w:val="right" w:pos="9072"/>
              </w:tabs>
              <w:suppressAutoHyphens/>
              <w:spacing w:after="60"/>
              <w:jc w:val="both"/>
              <w:rPr>
                <w:lang w:eastAsia="ar-SA"/>
              </w:rPr>
            </w:pPr>
            <w:r>
              <w:rPr>
                <w:lang w:eastAsia="ar-SA"/>
              </w:rPr>
              <w:t>Podstatná změna zadávacích podmínek</w:t>
            </w:r>
          </w:p>
        </w:tc>
        <w:tc>
          <w:tcPr>
            <w:tcW w:w="3214" w:type="dxa"/>
            <w:tcBorders>
              <w:top w:val="single" w:sz="4" w:space="0" w:color="000000"/>
              <w:left w:val="single" w:sz="4" w:space="0" w:color="auto"/>
              <w:bottom w:val="single" w:sz="4" w:space="0" w:color="000000"/>
              <w:right w:val="nil"/>
            </w:tcBorders>
          </w:tcPr>
          <w:p w:rsidR="00DE62EB" w:rsidRPr="00C83126" w:rsidRDefault="00DE62EB" w:rsidP="003B39F8">
            <w:pPr>
              <w:tabs>
                <w:tab w:val="center" w:pos="4153"/>
                <w:tab w:val="center" w:pos="4536"/>
                <w:tab w:val="right" w:pos="8306"/>
                <w:tab w:val="right" w:pos="9072"/>
              </w:tabs>
              <w:suppressAutoHyphens/>
              <w:jc w:val="both"/>
              <w:rPr>
                <w:lang w:eastAsia="ar-SA"/>
              </w:rPr>
            </w:pPr>
            <w:r w:rsidRPr="002F2444">
              <w:rPr>
                <w:lang w:eastAsia="ar-SA"/>
              </w:rPr>
              <w:t>Zadavatel v rámci jednání o nabídkách podstatně změní zadávací podmínky.</w:t>
            </w:r>
          </w:p>
        </w:tc>
        <w:tc>
          <w:tcPr>
            <w:tcW w:w="2592" w:type="dxa"/>
            <w:tcBorders>
              <w:top w:val="single" w:sz="4" w:space="0" w:color="000000"/>
              <w:left w:val="single" w:sz="4" w:space="0" w:color="000000"/>
              <w:bottom w:val="single" w:sz="4" w:space="0" w:color="000000"/>
              <w:right w:val="single" w:sz="4" w:space="0" w:color="000000"/>
            </w:tcBorders>
          </w:tcPr>
          <w:p w:rsidR="00DE62EB" w:rsidRPr="002F2444" w:rsidRDefault="00DE62EB" w:rsidP="003B39F8">
            <w:pPr>
              <w:tabs>
                <w:tab w:val="center" w:pos="4536"/>
                <w:tab w:val="right" w:pos="9072"/>
              </w:tabs>
              <w:suppressAutoHyphens/>
              <w:jc w:val="both"/>
              <w:rPr>
                <w:rStyle w:val="hps"/>
                <w:color w:val="222222"/>
              </w:rPr>
            </w:pPr>
            <w:r w:rsidRPr="002F2444">
              <w:rPr>
                <w:rStyle w:val="hps"/>
                <w:color w:val="222222"/>
              </w:rPr>
              <w:t>min. 25 % nebo</w:t>
            </w:r>
          </w:p>
          <w:p w:rsidR="00DE62EB" w:rsidRPr="002F2444" w:rsidRDefault="00DE62EB" w:rsidP="003B39F8">
            <w:pPr>
              <w:tabs>
                <w:tab w:val="center" w:pos="4536"/>
                <w:tab w:val="right" w:pos="9072"/>
              </w:tabs>
              <w:suppressAutoHyphens/>
              <w:jc w:val="both"/>
              <w:rPr>
                <w:rStyle w:val="hps"/>
                <w:color w:val="222222"/>
              </w:rPr>
            </w:pPr>
            <w:r w:rsidRPr="002F2444">
              <w:rPr>
                <w:rStyle w:val="hps"/>
                <w:color w:val="222222"/>
              </w:rPr>
              <w:t>min. 10 % nebo 5 % s</w:t>
            </w:r>
          </w:p>
          <w:p w:rsidR="00DE62EB" w:rsidRPr="002F2444" w:rsidRDefault="00DE62EB" w:rsidP="003B39F8">
            <w:pPr>
              <w:tabs>
                <w:tab w:val="center" w:pos="4536"/>
                <w:tab w:val="right" w:pos="9072"/>
              </w:tabs>
              <w:suppressAutoHyphens/>
              <w:jc w:val="both"/>
              <w:rPr>
                <w:rStyle w:val="hps"/>
                <w:color w:val="222222"/>
              </w:rPr>
            </w:pPr>
            <w:r w:rsidRPr="002F2444">
              <w:rPr>
                <w:rStyle w:val="hps"/>
                <w:color w:val="222222"/>
              </w:rPr>
              <w:t>ohledem na závažnost</w:t>
            </w:r>
          </w:p>
          <w:p w:rsidR="00DE62EB" w:rsidRPr="00C83126" w:rsidRDefault="00DE62EB" w:rsidP="003B39F8">
            <w:pPr>
              <w:tabs>
                <w:tab w:val="center" w:pos="4536"/>
                <w:tab w:val="right" w:pos="9072"/>
              </w:tabs>
              <w:suppressAutoHyphens/>
              <w:jc w:val="both"/>
              <w:rPr>
                <w:rStyle w:val="hps"/>
                <w:color w:val="222222"/>
              </w:rPr>
            </w:pPr>
            <w:r w:rsidRPr="002F2444">
              <w:rPr>
                <w:rStyle w:val="hps"/>
                <w:color w:val="222222"/>
              </w:rPr>
              <w:t>porušení</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tabs>
                <w:tab w:val="center" w:pos="4536"/>
                <w:tab w:val="right" w:pos="9072"/>
              </w:tabs>
              <w:suppressAutoHyphens/>
              <w:spacing w:after="240"/>
              <w:jc w:val="both"/>
              <w:rPr>
                <w:lang w:eastAsia="ar-SA"/>
              </w:rPr>
            </w:pPr>
            <w:r>
              <w:rPr>
                <w:lang w:eastAsia="ar-SA"/>
              </w:rPr>
              <w:t>15.</w:t>
            </w:r>
          </w:p>
        </w:tc>
        <w:tc>
          <w:tcPr>
            <w:tcW w:w="2795" w:type="dxa"/>
            <w:tcBorders>
              <w:top w:val="single" w:sz="4" w:space="0" w:color="000000"/>
              <w:left w:val="single" w:sz="4" w:space="0" w:color="000000"/>
              <w:bottom w:val="single" w:sz="4" w:space="0" w:color="000000"/>
              <w:right w:val="single" w:sz="4" w:space="0" w:color="auto"/>
            </w:tcBorders>
            <w:hideMark/>
          </w:tcPr>
          <w:p w:rsidR="00DE62EB" w:rsidRPr="00C83126" w:rsidRDefault="00DE62EB" w:rsidP="003B39F8">
            <w:pPr>
              <w:tabs>
                <w:tab w:val="center" w:pos="4153"/>
                <w:tab w:val="center" w:pos="4536"/>
                <w:tab w:val="right" w:pos="8306"/>
                <w:tab w:val="right" w:pos="9072"/>
              </w:tabs>
              <w:suppressAutoHyphens/>
              <w:spacing w:after="60"/>
              <w:jc w:val="both"/>
              <w:rPr>
                <w:lang w:eastAsia="ar-SA"/>
              </w:rPr>
            </w:pPr>
            <w:r w:rsidRPr="00C83126">
              <w:rPr>
                <w:lang w:eastAsia="ar-SA"/>
              </w:rPr>
              <w:t>Zvýhodnění některého dodavatele nebo některých dodavatelů</w:t>
            </w:r>
          </w:p>
        </w:tc>
        <w:tc>
          <w:tcPr>
            <w:tcW w:w="3214" w:type="dxa"/>
            <w:tcBorders>
              <w:top w:val="single" w:sz="4" w:space="0" w:color="000000"/>
              <w:left w:val="single" w:sz="4" w:space="0" w:color="auto"/>
              <w:bottom w:val="single" w:sz="4" w:space="0" w:color="000000"/>
              <w:right w:val="nil"/>
            </w:tcBorders>
          </w:tcPr>
          <w:p w:rsidR="00DE62EB" w:rsidRPr="00C83126" w:rsidRDefault="00DE62EB" w:rsidP="003B39F8">
            <w:pPr>
              <w:tabs>
                <w:tab w:val="center" w:pos="4153"/>
                <w:tab w:val="center" w:pos="4536"/>
                <w:tab w:val="right" w:pos="8306"/>
                <w:tab w:val="right" w:pos="9072"/>
              </w:tabs>
              <w:suppressAutoHyphens/>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592"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25 </w:t>
            </w:r>
            <w:r w:rsidRPr="00C83126">
              <w:rPr>
                <w:color w:val="222222"/>
              </w:rPr>
              <w:t>% nebo</w:t>
            </w:r>
          </w:p>
          <w:p w:rsidR="00DE62EB" w:rsidRPr="00C83126" w:rsidRDefault="00DE62EB" w:rsidP="003B39F8">
            <w:pPr>
              <w:tabs>
                <w:tab w:val="center" w:pos="4536"/>
                <w:tab w:val="right" w:pos="9072"/>
              </w:tabs>
              <w:suppressAutoHyphens/>
              <w:spacing w:after="240"/>
              <w:jc w:val="both"/>
              <w:rPr>
                <w:lang w:eastAsia="ar-SA"/>
              </w:rPr>
            </w:pPr>
            <w:r w:rsidRPr="00C83126">
              <w:rPr>
                <w:lang w:eastAsia="ar-SA"/>
              </w:rPr>
              <w:t>min. 10 % nebo</w:t>
            </w:r>
            <w:r>
              <w:rPr>
                <w:lang w:eastAsia="ar-SA"/>
              </w:rPr>
              <w:t xml:space="preserve"> min.</w:t>
            </w:r>
            <w:r w:rsidRPr="00C83126">
              <w:rPr>
                <w:lang w:eastAsia="ar-SA"/>
              </w:rPr>
              <w:t xml:space="preserve"> 5 %</w:t>
            </w:r>
            <w:r w:rsidRPr="00C83126">
              <w:rPr>
                <w:color w:val="222222"/>
              </w:rPr>
              <w:t xml:space="preserve"> s</w:t>
            </w:r>
            <w:r>
              <w:rPr>
                <w:color w:val="222222"/>
              </w:rPr>
              <w:t> </w:t>
            </w:r>
            <w:r w:rsidRPr="00C83126">
              <w:rPr>
                <w:color w:val="222222"/>
              </w:rPr>
              <w:t>ohledem na závažnost porušení</w:t>
            </w:r>
          </w:p>
        </w:tc>
      </w:tr>
      <w:tr w:rsidR="00DE62EB" w:rsidRPr="007C5849" w:rsidTr="003B39F8">
        <w:tc>
          <w:tcPr>
            <w:tcW w:w="0" w:type="auto"/>
            <w:tcBorders>
              <w:top w:val="single" w:sz="4" w:space="0" w:color="000000"/>
              <w:left w:val="single" w:sz="4" w:space="0" w:color="000000"/>
              <w:bottom w:val="single" w:sz="4" w:space="0" w:color="000000"/>
              <w:right w:val="nil"/>
            </w:tcBorders>
          </w:tcPr>
          <w:p w:rsidR="00DE62EB" w:rsidRPr="00596BA2" w:rsidRDefault="00DE62EB" w:rsidP="003B39F8">
            <w:pPr>
              <w:tabs>
                <w:tab w:val="center" w:pos="4536"/>
                <w:tab w:val="right" w:pos="9072"/>
              </w:tabs>
              <w:suppressAutoHyphens/>
              <w:spacing w:after="240"/>
              <w:jc w:val="both"/>
              <w:rPr>
                <w:lang w:eastAsia="ar-SA"/>
              </w:rPr>
            </w:pPr>
            <w:r>
              <w:rPr>
                <w:lang w:eastAsia="ar-SA"/>
              </w:rPr>
              <w:t>16</w:t>
            </w:r>
            <w:r w:rsidRPr="002A0490">
              <w:rPr>
                <w:lang w:eastAsia="ar-SA"/>
              </w:rPr>
              <w:t>.</w:t>
            </w:r>
          </w:p>
        </w:tc>
        <w:tc>
          <w:tcPr>
            <w:tcW w:w="2795" w:type="dxa"/>
            <w:tcBorders>
              <w:top w:val="single" w:sz="4" w:space="0" w:color="000000"/>
              <w:left w:val="single" w:sz="4" w:space="0" w:color="000000"/>
              <w:bottom w:val="single" w:sz="4" w:space="0" w:color="000000"/>
              <w:right w:val="single" w:sz="4" w:space="0" w:color="auto"/>
            </w:tcBorders>
          </w:tcPr>
          <w:p w:rsidR="00DE62EB" w:rsidRPr="00596BA2" w:rsidRDefault="00DE62EB" w:rsidP="003B39F8">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tc>
        <w:tc>
          <w:tcPr>
            <w:tcW w:w="3214" w:type="dxa"/>
            <w:tcBorders>
              <w:top w:val="single" w:sz="4" w:space="0" w:color="000000"/>
              <w:left w:val="single" w:sz="4" w:space="0" w:color="auto"/>
              <w:bottom w:val="single" w:sz="4" w:space="0" w:color="000000"/>
              <w:right w:val="nil"/>
            </w:tcBorders>
          </w:tcPr>
          <w:p w:rsidR="00DE62EB" w:rsidRPr="00596BA2" w:rsidRDefault="00DE62EB" w:rsidP="003B39F8">
            <w:pPr>
              <w:tabs>
                <w:tab w:val="center" w:pos="4153"/>
                <w:tab w:val="center" w:pos="4536"/>
                <w:tab w:val="right" w:pos="8306"/>
                <w:tab w:val="right" w:pos="9072"/>
              </w:tabs>
              <w:suppressAutoHyphens/>
              <w:jc w:val="both"/>
              <w:rPr>
                <w:lang w:eastAsia="ar-SA"/>
              </w:rPr>
            </w:pPr>
            <w:r>
              <w:rPr>
                <w:lang w:eastAsia="ar-SA"/>
              </w:rPr>
              <w:t xml:space="preserve">Zadavatel umožní </w:t>
            </w:r>
            <w:r w:rsidRPr="00C83126">
              <w:rPr>
                <w:lang w:eastAsia="ar-SA"/>
              </w:rPr>
              <w:t>uchazeči/zájemci, aby upravil svou nabídku během hodnocení nabídek.</w:t>
            </w:r>
          </w:p>
        </w:tc>
        <w:tc>
          <w:tcPr>
            <w:tcW w:w="2592" w:type="dxa"/>
            <w:tcBorders>
              <w:top w:val="single" w:sz="4" w:space="0" w:color="000000"/>
              <w:left w:val="single" w:sz="4" w:space="0" w:color="000000"/>
              <w:bottom w:val="single" w:sz="4" w:space="0" w:color="000000"/>
              <w:right w:val="single" w:sz="4" w:space="0" w:color="000000"/>
            </w:tcBorders>
          </w:tcPr>
          <w:p w:rsidR="00DE62EB" w:rsidRPr="00C83126" w:rsidRDefault="00DE62EB" w:rsidP="003B39F8">
            <w:pPr>
              <w:tabs>
                <w:tab w:val="center" w:pos="4536"/>
                <w:tab w:val="right" w:pos="9072"/>
              </w:tabs>
              <w:suppressAutoHyphens/>
              <w:jc w:val="both"/>
              <w:rPr>
                <w:color w:val="222222"/>
              </w:rPr>
            </w:pPr>
            <w:r w:rsidRPr="00C83126">
              <w:rPr>
                <w:rStyle w:val="hps"/>
                <w:color w:val="222222"/>
              </w:rPr>
              <w:t xml:space="preserve">min. 25 </w:t>
            </w:r>
            <w:r w:rsidRPr="00C83126">
              <w:rPr>
                <w:color w:val="222222"/>
              </w:rPr>
              <w:t>% nebo</w:t>
            </w:r>
          </w:p>
          <w:p w:rsidR="00DE62EB" w:rsidRPr="00EC2284" w:rsidRDefault="00DE62EB" w:rsidP="003B39F8">
            <w:pPr>
              <w:tabs>
                <w:tab w:val="center" w:pos="4536"/>
                <w:tab w:val="right" w:pos="9072"/>
              </w:tabs>
              <w:suppressAutoHyphens/>
              <w:jc w:val="both"/>
              <w:rPr>
                <w:rStyle w:val="hps"/>
                <w:color w:val="222222"/>
              </w:rPr>
            </w:pPr>
            <w:r w:rsidRPr="00C83126">
              <w:rPr>
                <w:lang w:eastAsia="ar-SA"/>
              </w:rPr>
              <w:t xml:space="preserve">min. 10 % nebo </w:t>
            </w:r>
            <w:r>
              <w:rPr>
                <w:lang w:eastAsia="ar-SA"/>
              </w:rPr>
              <w:t xml:space="preserve">min. </w:t>
            </w:r>
            <w:r w:rsidRPr="00C83126">
              <w:rPr>
                <w:lang w:eastAsia="ar-SA"/>
              </w:rPr>
              <w:t>5 %</w:t>
            </w:r>
            <w:r w:rsidRPr="00C83126">
              <w:rPr>
                <w:color w:val="222222"/>
              </w:rPr>
              <w:t xml:space="preserve"> s</w:t>
            </w:r>
            <w:r>
              <w:rPr>
                <w:color w:val="222222"/>
              </w:rPr>
              <w:t> </w:t>
            </w:r>
            <w:r w:rsidRPr="00C83126">
              <w:rPr>
                <w:color w:val="222222"/>
              </w:rPr>
              <w:t>ohledem na závažnost porušení</w:t>
            </w:r>
          </w:p>
        </w:tc>
      </w:tr>
      <w:tr w:rsidR="00DE62EB" w:rsidRPr="007C5849" w:rsidTr="003B39F8">
        <w:tc>
          <w:tcPr>
            <w:tcW w:w="0" w:type="auto"/>
            <w:tcBorders>
              <w:top w:val="single" w:sz="4" w:space="0" w:color="000000"/>
              <w:left w:val="single" w:sz="4" w:space="0" w:color="000000"/>
              <w:bottom w:val="single" w:sz="4" w:space="0" w:color="000000"/>
              <w:right w:val="nil"/>
            </w:tcBorders>
          </w:tcPr>
          <w:p w:rsidR="00DE62EB" w:rsidRPr="00596BA2" w:rsidRDefault="00DE62EB" w:rsidP="003B39F8">
            <w:pPr>
              <w:tabs>
                <w:tab w:val="center" w:pos="4536"/>
                <w:tab w:val="right" w:pos="9072"/>
              </w:tabs>
              <w:suppressAutoHyphens/>
              <w:spacing w:after="240"/>
              <w:jc w:val="both"/>
              <w:rPr>
                <w:lang w:eastAsia="ar-SA"/>
              </w:rPr>
            </w:pPr>
            <w:r>
              <w:rPr>
                <w:lang w:eastAsia="ar-SA"/>
              </w:rPr>
              <w:t>17</w:t>
            </w:r>
            <w:r w:rsidRPr="002A0490">
              <w:rPr>
                <w:lang w:eastAsia="ar-SA"/>
              </w:rPr>
              <w:t>.</w:t>
            </w:r>
          </w:p>
        </w:tc>
        <w:tc>
          <w:tcPr>
            <w:tcW w:w="2795" w:type="dxa"/>
            <w:tcBorders>
              <w:top w:val="single" w:sz="4" w:space="0" w:color="000000"/>
              <w:left w:val="single" w:sz="4" w:space="0" w:color="000000"/>
              <w:bottom w:val="single" w:sz="4" w:space="0" w:color="000000"/>
              <w:right w:val="single" w:sz="4" w:space="0" w:color="auto"/>
            </w:tcBorders>
          </w:tcPr>
          <w:p w:rsidR="00DE62EB" w:rsidRPr="00596BA2" w:rsidRDefault="00DE62EB" w:rsidP="003B39F8">
            <w:pPr>
              <w:tabs>
                <w:tab w:val="center" w:pos="4153"/>
                <w:tab w:val="center" w:pos="4536"/>
                <w:tab w:val="right" w:pos="8306"/>
                <w:tab w:val="right" w:pos="9072"/>
              </w:tabs>
              <w:suppressAutoHyphens/>
              <w:spacing w:after="60"/>
              <w:jc w:val="both"/>
              <w:rPr>
                <w:lang w:eastAsia="ar-SA"/>
              </w:rPr>
            </w:pPr>
            <w:r>
              <w:rPr>
                <w:lang w:eastAsia="ar-SA"/>
              </w:rPr>
              <w:t>Odmítnutí mimořádně nízkých nabídek</w:t>
            </w:r>
          </w:p>
        </w:tc>
        <w:tc>
          <w:tcPr>
            <w:tcW w:w="3214" w:type="dxa"/>
            <w:tcBorders>
              <w:top w:val="single" w:sz="4" w:space="0" w:color="000000"/>
              <w:left w:val="single" w:sz="4" w:space="0" w:color="auto"/>
              <w:bottom w:val="single" w:sz="4" w:space="0" w:color="000000"/>
              <w:right w:val="nil"/>
            </w:tcBorders>
          </w:tcPr>
          <w:p w:rsidR="00DE62EB" w:rsidRPr="00596BA2" w:rsidRDefault="00DE62EB" w:rsidP="003B39F8">
            <w:pPr>
              <w:tabs>
                <w:tab w:val="center" w:pos="4153"/>
                <w:tab w:val="center" w:pos="4536"/>
                <w:tab w:val="right" w:pos="8306"/>
                <w:tab w:val="right" w:pos="9072"/>
              </w:tabs>
              <w:suppressAutoHyphens/>
              <w:spacing w:after="60"/>
              <w:jc w:val="both"/>
              <w:rPr>
                <w:lang w:eastAsia="ar-SA"/>
              </w:rPr>
            </w:pPr>
            <w:r>
              <w:rPr>
                <w:lang w:eastAsia="ar-SA"/>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2592" w:type="dxa"/>
            <w:tcBorders>
              <w:top w:val="single" w:sz="4" w:space="0" w:color="000000"/>
              <w:left w:val="single" w:sz="4" w:space="0" w:color="000000"/>
              <w:bottom w:val="single" w:sz="4" w:space="0" w:color="000000"/>
              <w:right w:val="single" w:sz="4" w:space="0" w:color="000000"/>
            </w:tcBorders>
          </w:tcPr>
          <w:p w:rsidR="00DE62EB" w:rsidRPr="00EC2284" w:rsidRDefault="00DE62EB" w:rsidP="003B39F8">
            <w:pPr>
              <w:tabs>
                <w:tab w:val="center" w:pos="4536"/>
                <w:tab w:val="right" w:pos="9072"/>
              </w:tabs>
              <w:suppressAutoHyphens/>
              <w:jc w:val="both"/>
              <w:rPr>
                <w:rStyle w:val="hps"/>
                <w:color w:val="222222"/>
              </w:rPr>
            </w:pPr>
            <w:r w:rsidRPr="00C83126">
              <w:rPr>
                <w:rStyle w:val="hps"/>
                <w:color w:val="222222"/>
              </w:rPr>
              <w:t xml:space="preserve">min. 25 </w:t>
            </w:r>
            <w:r w:rsidRPr="00C83126">
              <w:rPr>
                <w:color w:val="222222"/>
              </w:rPr>
              <w:t>%</w:t>
            </w:r>
            <w:r>
              <w:rPr>
                <w:color w:val="222222"/>
              </w:rPr>
              <w:t xml:space="preserve"> </w:t>
            </w:r>
          </w:p>
        </w:tc>
      </w:tr>
      <w:tr w:rsidR="00DE62EB" w:rsidRPr="007C5849" w:rsidTr="003B39F8">
        <w:tc>
          <w:tcPr>
            <w:tcW w:w="0" w:type="auto"/>
            <w:tcBorders>
              <w:top w:val="single" w:sz="4" w:space="0" w:color="000000"/>
              <w:left w:val="single" w:sz="4" w:space="0" w:color="000000"/>
              <w:bottom w:val="single" w:sz="4" w:space="0" w:color="000000"/>
              <w:right w:val="nil"/>
            </w:tcBorders>
          </w:tcPr>
          <w:p w:rsidR="00DE62EB" w:rsidRPr="00596BA2" w:rsidRDefault="00DE62EB" w:rsidP="003B39F8">
            <w:pPr>
              <w:tabs>
                <w:tab w:val="center" w:pos="4536"/>
                <w:tab w:val="right" w:pos="9072"/>
              </w:tabs>
              <w:suppressAutoHyphens/>
              <w:spacing w:after="240"/>
              <w:jc w:val="both"/>
              <w:rPr>
                <w:lang w:eastAsia="ar-SA"/>
              </w:rPr>
            </w:pPr>
            <w:r>
              <w:rPr>
                <w:lang w:eastAsia="ar-SA"/>
              </w:rPr>
              <w:t>18</w:t>
            </w:r>
            <w:r w:rsidRPr="002A0490">
              <w:rPr>
                <w:lang w:eastAsia="ar-SA"/>
              </w:rPr>
              <w:t>.</w:t>
            </w:r>
          </w:p>
        </w:tc>
        <w:tc>
          <w:tcPr>
            <w:tcW w:w="2795" w:type="dxa"/>
            <w:tcBorders>
              <w:top w:val="single" w:sz="4" w:space="0" w:color="000000"/>
              <w:left w:val="single" w:sz="4" w:space="0" w:color="000000"/>
              <w:bottom w:val="single" w:sz="4" w:space="0" w:color="000000"/>
              <w:right w:val="single" w:sz="4" w:space="0" w:color="auto"/>
            </w:tcBorders>
          </w:tcPr>
          <w:p w:rsidR="00DE62EB" w:rsidRPr="00596BA2" w:rsidRDefault="00DE62EB" w:rsidP="003B39F8">
            <w:pPr>
              <w:tabs>
                <w:tab w:val="center" w:pos="4153"/>
                <w:tab w:val="center" w:pos="4536"/>
                <w:tab w:val="right" w:pos="8306"/>
                <w:tab w:val="right" w:pos="9072"/>
              </w:tabs>
              <w:suppressAutoHyphens/>
              <w:jc w:val="both"/>
              <w:rPr>
                <w:lang w:eastAsia="ar-SA"/>
              </w:rPr>
            </w:pPr>
            <w:r>
              <w:rPr>
                <w:lang w:eastAsia="ar-SA"/>
              </w:rPr>
              <w:t>Střet zájmů</w:t>
            </w:r>
          </w:p>
        </w:tc>
        <w:tc>
          <w:tcPr>
            <w:tcW w:w="3214" w:type="dxa"/>
            <w:tcBorders>
              <w:top w:val="single" w:sz="4" w:space="0" w:color="000000"/>
              <w:left w:val="single" w:sz="4" w:space="0" w:color="auto"/>
              <w:bottom w:val="single" w:sz="4" w:space="0" w:color="000000"/>
              <w:right w:val="nil"/>
            </w:tcBorders>
          </w:tcPr>
          <w:p w:rsidR="00DE62EB" w:rsidRDefault="00DE62EB" w:rsidP="003B39F8">
            <w:p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DE62EB" w:rsidRPr="00C83126" w:rsidRDefault="00DE62EB" w:rsidP="00DE62EB">
            <w:pPr>
              <w:pStyle w:val="Zkladntext"/>
              <w:numPr>
                <w:ilvl w:val="0"/>
                <w:numId w:val="16"/>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DE62EB" w:rsidRPr="003D0E90" w:rsidRDefault="00DE62EB" w:rsidP="00DE62EB">
            <w:pPr>
              <w:pStyle w:val="Zkladntext"/>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sidRPr="00C83126">
              <w:rPr>
                <w:sz w:val="20"/>
              </w:rPr>
              <w:t xml:space="preserve">resp. s uchazečem ve sdružení, který je </w:t>
            </w:r>
            <w:r w:rsidRPr="00C83126">
              <w:rPr>
                <w:sz w:val="20"/>
              </w:rPr>
              <w:lastRenderedPageBreak/>
              <w:t>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r>
              <w:rPr>
                <w:sz w:val="20"/>
              </w:rPr>
              <w:t>j</w:t>
            </w:r>
            <w:r w:rsidRPr="00C83126">
              <w:rPr>
                <w:sz w:val="20"/>
              </w:rPr>
              <w:t>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592" w:type="dxa"/>
            <w:tcBorders>
              <w:top w:val="single" w:sz="4" w:space="0" w:color="000000"/>
              <w:left w:val="single" w:sz="4" w:space="0" w:color="000000"/>
              <w:bottom w:val="single" w:sz="4" w:space="0" w:color="000000"/>
              <w:right w:val="single" w:sz="4" w:space="0" w:color="000000"/>
            </w:tcBorders>
          </w:tcPr>
          <w:p w:rsidR="00DE62EB" w:rsidRPr="00EC2284" w:rsidRDefault="00DE62EB" w:rsidP="003B39F8">
            <w:pPr>
              <w:tabs>
                <w:tab w:val="center" w:pos="4536"/>
                <w:tab w:val="right" w:pos="9072"/>
              </w:tabs>
              <w:suppressAutoHyphens/>
              <w:jc w:val="both"/>
              <w:rPr>
                <w:rStyle w:val="hps"/>
                <w:color w:val="222222"/>
              </w:rPr>
            </w:pPr>
            <w:r>
              <w:rPr>
                <w:rStyle w:val="hps"/>
              </w:rPr>
              <w:lastRenderedPageBreak/>
              <w:t>100 %</w:t>
            </w:r>
            <w:r w:rsidRPr="00C83126">
              <w:rPr>
                <w:color w:val="222222"/>
              </w:rPr>
              <w:t xml:space="preserve"> </w:t>
            </w:r>
          </w:p>
        </w:tc>
      </w:tr>
    </w:tbl>
    <w:p w:rsidR="00DE62EB" w:rsidRDefault="00DE62EB" w:rsidP="00DE62EB">
      <w:pPr>
        <w:jc w:val="both"/>
        <w:rPr>
          <w:lang w:eastAsia="ar-SA"/>
        </w:rPr>
      </w:pPr>
    </w:p>
    <w:p w:rsidR="00DE62EB" w:rsidRDefault="00DE62EB" w:rsidP="00DE62EB">
      <w:pPr>
        <w:pStyle w:val="Mjstyl3"/>
        <w:numPr>
          <w:ilvl w:val="0"/>
          <w:numId w:val="0"/>
        </w:numPr>
        <w:ind w:left="432" w:hanging="432"/>
        <w:rPr>
          <w:rFonts w:ascii="Times New Roman" w:hAnsi="Times New Roman" w:cs="Times New Roman"/>
          <w:b/>
          <w:sz w:val="24"/>
          <w:szCs w:val="24"/>
        </w:rPr>
      </w:pPr>
    </w:p>
    <w:p w:rsidR="00DE62EB" w:rsidRPr="00C83126" w:rsidRDefault="00DE62EB" w:rsidP="00DE62EB">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516"/>
        <w:gridCol w:w="2813"/>
        <w:gridCol w:w="3217"/>
        <w:gridCol w:w="2521"/>
      </w:tblGrid>
      <w:tr w:rsidR="00DE62EB" w:rsidRPr="007C5849" w:rsidTr="003B39F8">
        <w:trPr>
          <w:tblHeader/>
        </w:trPr>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suppressAutoHyphens/>
              <w:spacing w:after="240"/>
              <w:jc w:val="both"/>
              <w:rPr>
                <w:b/>
                <w:lang w:eastAsia="ar-SA"/>
              </w:rPr>
            </w:pPr>
          </w:p>
        </w:tc>
        <w:tc>
          <w:tcPr>
            <w:tcW w:w="2834" w:type="dxa"/>
            <w:tcBorders>
              <w:top w:val="single" w:sz="4" w:space="0" w:color="000000"/>
              <w:left w:val="single" w:sz="4" w:space="0" w:color="000000"/>
              <w:bottom w:val="single" w:sz="4" w:space="0" w:color="000000"/>
              <w:right w:val="single" w:sz="4" w:space="0" w:color="auto"/>
            </w:tcBorders>
            <w:hideMark/>
          </w:tcPr>
          <w:p w:rsidR="00DE62EB" w:rsidRPr="00C83126" w:rsidRDefault="00DE62EB" w:rsidP="003B39F8">
            <w:pPr>
              <w:suppressAutoHyphens/>
              <w:jc w:val="both"/>
              <w:rPr>
                <w:b/>
                <w:lang w:eastAsia="ar-SA"/>
              </w:rPr>
            </w:pPr>
            <w:r w:rsidRPr="00C83126">
              <w:rPr>
                <w:b/>
                <w:lang w:eastAsia="ar-SA"/>
              </w:rPr>
              <w:t>Typ porušení</w:t>
            </w:r>
          </w:p>
        </w:tc>
        <w:tc>
          <w:tcPr>
            <w:tcW w:w="3230" w:type="dxa"/>
            <w:tcBorders>
              <w:top w:val="single" w:sz="4" w:space="0" w:color="000000"/>
              <w:left w:val="single" w:sz="4" w:space="0" w:color="auto"/>
              <w:bottom w:val="single" w:sz="4" w:space="0" w:color="000000"/>
              <w:right w:val="nil"/>
            </w:tcBorders>
          </w:tcPr>
          <w:p w:rsidR="00DE62EB" w:rsidRPr="00C83126" w:rsidRDefault="00DE62EB" w:rsidP="003B39F8">
            <w:pPr>
              <w:suppressAutoHyphens/>
              <w:jc w:val="both"/>
              <w:rPr>
                <w:b/>
                <w:lang w:eastAsia="ar-SA"/>
              </w:rPr>
            </w:pPr>
          </w:p>
        </w:tc>
        <w:tc>
          <w:tcPr>
            <w:tcW w:w="253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suppressAutoHyphens/>
              <w:jc w:val="both"/>
              <w:rPr>
                <w:b/>
                <w:lang w:eastAsia="ar-SA"/>
              </w:rPr>
            </w:pPr>
            <w:r w:rsidRPr="00C83126">
              <w:rPr>
                <w:b/>
                <w:lang w:eastAsia="ar-SA"/>
              </w:rPr>
              <w:t>Sazba finanční opravy</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suppressAutoHyphens/>
              <w:spacing w:after="240"/>
              <w:jc w:val="both"/>
              <w:rPr>
                <w:lang w:eastAsia="ar-SA"/>
              </w:rPr>
            </w:pPr>
            <w:r>
              <w:rPr>
                <w:lang w:eastAsia="ar-SA"/>
              </w:rPr>
              <w:t>19.</w:t>
            </w:r>
          </w:p>
        </w:tc>
        <w:tc>
          <w:tcPr>
            <w:tcW w:w="2834" w:type="dxa"/>
            <w:tcBorders>
              <w:top w:val="single" w:sz="4" w:space="0" w:color="000000"/>
              <w:left w:val="single" w:sz="4" w:space="0" w:color="000000"/>
              <w:bottom w:val="single" w:sz="4" w:space="0" w:color="000000"/>
              <w:right w:val="single" w:sz="4" w:space="0" w:color="auto"/>
            </w:tcBorders>
            <w:hideMark/>
          </w:tcPr>
          <w:p w:rsidR="00DE62EB" w:rsidRPr="003E1334" w:rsidRDefault="00DE62EB" w:rsidP="003B39F8">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DE62EB" w:rsidRPr="00C83126" w:rsidRDefault="00DE62EB" w:rsidP="003B39F8">
            <w:pPr>
              <w:tabs>
                <w:tab w:val="num" w:pos="1134"/>
              </w:tabs>
              <w:jc w:val="both"/>
            </w:pPr>
          </w:p>
        </w:tc>
        <w:tc>
          <w:tcPr>
            <w:tcW w:w="3230" w:type="dxa"/>
            <w:tcBorders>
              <w:top w:val="single" w:sz="4" w:space="0" w:color="000000"/>
              <w:left w:val="single" w:sz="4" w:space="0" w:color="auto"/>
              <w:bottom w:val="single" w:sz="4" w:space="0" w:color="000000"/>
              <w:right w:val="nil"/>
            </w:tcBorders>
          </w:tcPr>
          <w:p w:rsidR="00DE62EB" w:rsidRDefault="00DE62EB" w:rsidP="003B39F8">
            <w:pPr>
              <w:jc w:val="both"/>
            </w:pPr>
            <w:r>
              <w:t>Podstatná změna smlouvy na plnění zakázky, která by mohla mít vliv na výběr nejvhodnější nabídky. Za podstatnou se považuje taková změna, která by:</w:t>
            </w:r>
          </w:p>
          <w:p w:rsidR="00DE62EB" w:rsidRDefault="00DE62EB" w:rsidP="003B39F8">
            <w:pPr>
              <w:jc w:val="both"/>
            </w:pPr>
            <w:r>
              <w:t>a) rozšířila předmět zakázky;</w:t>
            </w:r>
          </w:p>
          <w:p w:rsidR="00DE62EB" w:rsidRDefault="00DE62EB" w:rsidP="003B39F8">
            <w:pPr>
              <w:jc w:val="both"/>
            </w:pPr>
            <w:r>
              <w:t>b) za použití v původním výběrovém/zadávacím řízení umožnila účast jiných dodavatelů;</w:t>
            </w:r>
          </w:p>
          <w:p w:rsidR="00DE62EB" w:rsidRDefault="00DE62EB" w:rsidP="003B39F8">
            <w:pPr>
              <w:jc w:val="both"/>
            </w:pPr>
            <w:r>
              <w:t>c) za použití v původním výběrovém/zadávacím řízení mohla ovlivnit výběr nejvhodnější nabídky nebo</w:t>
            </w:r>
          </w:p>
          <w:p w:rsidR="00DE62EB" w:rsidRPr="00C83126" w:rsidRDefault="00DE62EB" w:rsidP="003B39F8">
            <w:pPr>
              <w:jc w:val="both"/>
            </w:pPr>
            <w:r>
              <w:t>měnila ekonomickou rovnováhu smlouvy ve prospěch vybraného uchazeče.</w:t>
            </w:r>
          </w:p>
        </w:tc>
        <w:tc>
          <w:tcPr>
            <w:tcW w:w="253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left" w:pos="2302"/>
                <w:tab w:val="center" w:pos="4536"/>
                <w:tab w:val="right" w:pos="9072"/>
              </w:tabs>
              <w:suppressAutoHyphens/>
              <w:snapToGrid w:val="0"/>
              <w:spacing w:after="240"/>
              <w:jc w:val="both"/>
              <w:rPr>
                <w:lang w:eastAsia="ar-SA"/>
              </w:rPr>
            </w:pPr>
            <w:r w:rsidRPr="00C83126">
              <w:rPr>
                <w:color w:val="222222"/>
              </w:rPr>
              <w:t>100% z hodnoty dodatečných zakázek vyplývajících z podstatné změny smlouvy a</w:t>
            </w:r>
            <w:r>
              <w:rPr>
                <w:color w:val="222222"/>
              </w:rPr>
              <w:t> </w:t>
            </w:r>
            <w:r w:rsidRPr="00C83126">
              <w:rPr>
                <w:lang w:eastAsia="ar-SA"/>
              </w:rPr>
              <w:t>min. 25 % ze smluvní ceny původní zakázky</w:t>
            </w:r>
          </w:p>
        </w:tc>
      </w:tr>
      <w:tr w:rsidR="00DE62EB" w:rsidRPr="007C5849" w:rsidTr="003B39F8">
        <w:tc>
          <w:tcPr>
            <w:tcW w:w="0" w:type="auto"/>
            <w:tcBorders>
              <w:top w:val="single" w:sz="4" w:space="0" w:color="000000"/>
              <w:left w:val="single" w:sz="4" w:space="0" w:color="000000"/>
              <w:bottom w:val="single" w:sz="4" w:space="0" w:color="000000"/>
              <w:right w:val="nil"/>
            </w:tcBorders>
            <w:shd w:val="clear" w:color="auto" w:fill="FFFFFF"/>
            <w:hideMark/>
          </w:tcPr>
          <w:p w:rsidR="00DE62EB" w:rsidRPr="00C83126" w:rsidRDefault="00DE62EB" w:rsidP="003B39F8">
            <w:pPr>
              <w:tabs>
                <w:tab w:val="center" w:pos="4536"/>
                <w:tab w:val="right" w:pos="9072"/>
              </w:tabs>
              <w:suppressAutoHyphens/>
              <w:spacing w:after="240"/>
              <w:jc w:val="both"/>
              <w:rPr>
                <w:lang w:eastAsia="ar-SA"/>
              </w:rPr>
            </w:pPr>
            <w:r>
              <w:rPr>
                <w:lang w:eastAsia="ar-SA"/>
              </w:rPr>
              <w:t>20.</w:t>
            </w:r>
          </w:p>
        </w:tc>
        <w:tc>
          <w:tcPr>
            <w:tcW w:w="2834" w:type="dxa"/>
            <w:tcBorders>
              <w:top w:val="single" w:sz="4" w:space="0" w:color="000000"/>
              <w:left w:val="single" w:sz="4" w:space="0" w:color="000000"/>
              <w:bottom w:val="single" w:sz="4" w:space="0" w:color="000000"/>
              <w:right w:val="single" w:sz="4" w:space="0" w:color="auto"/>
            </w:tcBorders>
            <w:shd w:val="clear" w:color="auto" w:fill="FFFFFF"/>
            <w:hideMark/>
          </w:tcPr>
          <w:p w:rsidR="00DE62EB" w:rsidRPr="00973923" w:rsidRDefault="00DE62EB" w:rsidP="003B39F8">
            <w:pPr>
              <w:tabs>
                <w:tab w:val="left" w:pos="2302"/>
                <w:tab w:val="center" w:pos="4536"/>
                <w:tab w:val="right" w:pos="9072"/>
              </w:tabs>
              <w:suppressAutoHyphens/>
              <w:snapToGrid w:val="0"/>
              <w:spacing w:after="60"/>
              <w:jc w:val="both"/>
              <w:rPr>
                <w:color w:val="222222"/>
              </w:rPr>
            </w:pPr>
            <w:r w:rsidRPr="00C83126">
              <w:rPr>
                <w:color w:val="222222"/>
              </w:rPr>
              <w:t>Snížení rozsahu smlouvy na plnění zakázky</w:t>
            </w:r>
          </w:p>
          <w:p w:rsidR="00DE62EB" w:rsidRPr="00C83126" w:rsidRDefault="00DE62EB" w:rsidP="003B39F8">
            <w:pPr>
              <w:pStyle w:val="Mjstyl3"/>
              <w:numPr>
                <w:ilvl w:val="0"/>
                <w:numId w:val="0"/>
              </w:numPr>
              <w:spacing w:before="0"/>
              <w:rPr>
                <w:rFonts w:ascii="Times New Roman" w:hAnsi="Times New Roman" w:cs="Times New Roman"/>
                <w:lang w:eastAsia="ar-SA"/>
              </w:rPr>
            </w:pPr>
          </w:p>
        </w:tc>
        <w:tc>
          <w:tcPr>
            <w:tcW w:w="3230" w:type="dxa"/>
            <w:tcBorders>
              <w:top w:val="single" w:sz="4" w:space="0" w:color="000000"/>
              <w:left w:val="single" w:sz="4" w:space="0" w:color="auto"/>
              <w:bottom w:val="single" w:sz="4" w:space="0" w:color="000000"/>
              <w:right w:val="nil"/>
            </w:tcBorders>
            <w:shd w:val="clear" w:color="auto" w:fill="FFFFFF"/>
          </w:tcPr>
          <w:p w:rsidR="00DE62EB" w:rsidRPr="00C83126" w:rsidRDefault="00DE62EB" w:rsidP="003B39F8">
            <w:pPr>
              <w:pStyle w:val="Mjstyl3"/>
              <w:numPr>
                <w:ilvl w:val="0"/>
                <w:numId w:val="0"/>
              </w:numPr>
              <w:spacing w:before="0"/>
              <w:ind w:left="62"/>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537" w:type="dxa"/>
            <w:tcBorders>
              <w:top w:val="single" w:sz="4" w:space="0" w:color="000000"/>
              <w:left w:val="single" w:sz="4" w:space="0" w:color="000000"/>
              <w:bottom w:val="single" w:sz="4" w:space="0" w:color="000000"/>
              <w:right w:val="single" w:sz="4" w:space="0" w:color="000000"/>
            </w:tcBorders>
            <w:shd w:val="clear" w:color="auto" w:fill="FFFFFF"/>
            <w:hideMark/>
          </w:tcPr>
          <w:p w:rsidR="00DE62EB" w:rsidRPr="00C83126" w:rsidRDefault="00DE62EB" w:rsidP="003B39F8">
            <w:pPr>
              <w:tabs>
                <w:tab w:val="left" w:pos="2302"/>
                <w:tab w:val="center" w:pos="4536"/>
                <w:tab w:val="right" w:pos="9072"/>
              </w:tabs>
              <w:suppressAutoHyphens/>
              <w:spacing w:after="240"/>
              <w:jc w:val="both"/>
              <w:rPr>
                <w:lang w:eastAsia="ar-SA"/>
              </w:rPr>
            </w:pPr>
            <w:r w:rsidRPr="00C83126">
              <w:rPr>
                <w:lang w:eastAsia="ar-SA"/>
              </w:rPr>
              <w:t>min. 25 % ze smluvní ceny po jejím snížení</w:t>
            </w: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tabs>
                <w:tab w:val="center" w:pos="4536"/>
                <w:tab w:val="right" w:pos="9072"/>
              </w:tabs>
              <w:suppressAutoHyphens/>
              <w:spacing w:after="240"/>
              <w:jc w:val="both"/>
              <w:rPr>
                <w:lang w:eastAsia="ar-SA"/>
              </w:rPr>
            </w:pPr>
            <w:r>
              <w:rPr>
                <w:lang w:eastAsia="ar-SA"/>
              </w:rPr>
              <w:t>21.</w:t>
            </w:r>
          </w:p>
        </w:tc>
        <w:tc>
          <w:tcPr>
            <w:tcW w:w="2834" w:type="dxa"/>
            <w:tcBorders>
              <w:top w:val="single" w:sz="4" w:space="0" w:color="000000"/>
              <w:left w:val="single" w:sz="4" w:space="0" w:color="000000"/>
              <w:bottom w:val="single" w:sz="4" w:space="0" w:color="000000"/>
              <w:right w:val="single" w:sz="4" w:space="0" w:color="auto"/>
            </w:tcBorders>
            <w:hideMark/>
          </w:tcPr>
          <w:p w:rsidR="00DE62EB" w:rsidRDefault="00DE62EB" w:rsidP="003B39F8">
            <w:pPr>
              <w:tabs>
                <w:tab w:val="center" w:pos="4536"/>
                <w:tab w:val="right" w:pos="9072"/>
              </w:tabs>
              <w:suppressAutoHyphens/>
              <w:spacing w:after="60"/>
              <w:jc w:val="both"/>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DE62EB" w:rsidRPr="007301C5" w:rsidRDefault="00DE62EB" w:rsidP="003B39F8">
            <w:pPr>
              <w:pStyle w:val="Mjstyl3"/>
              <w:numPr>
                <w:ilvl w:val="0"/>
                <w:numId w:val="0"/>
              </w:numPr>
              <w:tabs>
                <w:tab w:val="left" w:pos="708"/>
              </w:tabs>
              <w:spacing w:before="0"/>
              <w:ind w:left="357" w:hanging="357"/>
              <w:rPr>
                <w:rFonts w:ascii="Times New Roman" w:hAnsi="Times New Roman" w:cs="Times New Roman"/>
                <w:sz w:val="20"/>
                <w:szCs w:val="20"/>
              </w:rPr>
            </w:pPr>
          </w:p>
        </w:tc>
        <w:tc>
          <w:tcPr>
            <w:tcW w:w="3230" w:type="dxa"/>
            <w:tcBorders>
              <w:top w:val="single" w:sz="4" w:space="0" w:color="000000"/>
              <w:left w:val="single" w:sz="4" w:space="0" w:color="auto"/>
              <w:bottom w:val="single" w:sz="4" w:space="0" w:color="000000"/>
              <w:right w:val="nil"/>
            </w:tcBorders>
          </w:tcPr>
          <w:p w:rsidR="00DE62EB" w:rsidRPr="007301C5" w:rsidRDefault="00DE62EB" w:rsidP="003B39F8">
            <w:pPr>
              <w:pStyle w:val="Mjstyl3"/>
              <w:numPr>
                <w:ilvl w:val="0"/>
                <w:numId w:val="0"/>
              </w:numPr>
              <w:tabs>
                <w:tab w:val="left" w:pos="708"/>
              </w:tabs>
              <w:spacing w:before="0"/>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0D2AC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w:t>
            </w:r>
            <w:r w:rsidRPr="000D2ACC">
              <w:rPr>
                <w:rFonts w:ascii="Times New Roman" w:hAnsi="Times New Roman" w:cs="Times New Roman"/>
                <w:sz w:val="20"/>
                <w:szCs w:val="20"/>
              </w:rPr>
              <w:lastRenderedPageBreak/>
              <w:t>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Pr>
                <w:rFonts w:ascii="Times New Roman" w:hAnsi="Times New Roman" w:cs="Times New Roman"/>
                <w:sz w:val="20"/>
                <w:szCs w:val="20"/>
              </w:rPr>
              <w:t xml:space="preserve"> v případě VZMR, 30% ceny u zakázek v režimu zákona.</w:t>
            </w:r>
            <w:bookmarkEnd w:id="1"/>
            <w:bookmarkEnd w:id="2"/>
            <w:bookmarkEnd w:id="3"/>
            <w:bookmarkEnd w:id="4"/>
            <w:bookmarkEnd w:id="5"/>
            <w:bookmarkEnd w:id="6"/>
          </w:p>
        </w:tc>
        <w:tc>
          <w:tcPr>
            <w:tcW w:w="2537" w:type="dxa"/>
            <w:tcBorders>
              <w:top w:val="single" w:sz="4" w:space="0" w:color="000000"/>
              <w:left w:val="single" w:sz="4" w:space="0" w:color="000000"/>
              <w:bottom w:val="single" w:sz="4" w:space="0" w:color="000000"/>
              <w:right w:val="single" w:sz="4" w:space="0" w:color="000000"/>
            </w:tcBorders>
          </w:tcPr>
          <w:p w:rsidR="00DE62EB" w:rsidRPr="00C83126" w:rsidRDefault="00DE62EB" w:rsidP="003B39F8">
            <w:pPr>
              <w:tabs>
                <w:tab w:val="left" w:pos="2302"/>
                <w:tab w:val="center" w:pos="4536"/>
                <w:tab w:val="right" w:pos="9072"/>
              </w:tabs>
              <w:suppressAutoHyphens/>
              <w:snapToGrid w:val="0"/>
              <w:spacing w:after="240"/>
              <w:jc w:val="both"/>
              <w:rPr>
                <w:color w:val="222222"/>
              </w:rPr>
            </w:pPr>
            <w:r w:rsidRPr="00C83126">
              <w:rPr>
                <w:color w:val="222222"/>
              </w:rPr>
              <w:lastRenderedPageBreak/>
              <w:t xml:space="preserve">100% z hodnoty dodatečných zakázek nebo </w:t>
            </w:r>
            <w:r w:rsidRPr="00C83126">
              <w:rPr>
                <w:lang w:eastAsia="ar-SA"/>
              </w:rPr>
              <w:t xml:space="preserve">min. 25 % </w:t>
            </w:r>
            <w:r w:rsidRPr="00C83126">
              <w:rPr>
                <w:color w:val="222222"/>
              </w:rPr>
              <w:t xml:space="preserve">v případě, kdy dodatečné zakázky nepřekročí 50% hodnoty původní </w:t>
            </w:r>
            <w:r w:rsidRPr="00C83126">
              <w:rPr>
                <w:color w:val="222222"/>
              </w:rPr>
              <w:lastRenderedPageBreak/>
              <w:t>zakázky</w:t>
            </w:r>
            <w:r>
              <w:rPr>
                <w:color w:val="222222"/>
              </w:rPr>
              <w:t xml:space="preserve"> u VZMR a 30% hodnoty původní zakázky u zakázek v režimu zákona.</w:t>
            </w:r>
          </w:p>
          <w:p w:rsidR="00DE62EB" w:rsidRPr="00C83126" w:rsidRDefault="00DE62EB" w:rsidP="003B39F8">
            <w:pPr>
              <w:tabs>
                <w:tab w:val="left" w:pos="2302"/>
              </w:tabs>
              <w:suppressAutoHyphens/>
              <w:snapToGrid w:val="0"/>
              <w:spacing w:after="240"/>
              <w:jc w:val="both"/>
              <w:rPr>
                <w:lang w:eastAsia="ar-SA"/>
              </w:rPr>
            </w:pPr>
          </w:p>
        </w:tc>
      </w:tr>
      <w:tr w:rsidR="00DE62EB" w:rsidRPr="007C5849" w:rsidTr="003B39F8">
        <w:tc>
          <w:tcPr>
            <w:tcW w:w="0" w:type="auto"/>
            <w:tcBorders>
              <w:top w:val="single" w:sz="4" w:space="0" w:color="000000"/>
              <w:left w:val="single" w:sz="4" w:space="0" w:color="000000"/>
              <w:bottom w:val="single" w:sz="4" w:space="0" w:color="000000"/>
              <w:right w:val="nil"/>
            </w:tcBorders>
            <w:hideMark/>
          </w:tcPr>
          <w:p w:rsidR="00DE62EB" w:rsidRPr="00C83126" w:rsidRDefault="00DE62EB" w:rsidP="003B39F8">
            <w:pPr>
              <w:suppressAutoHyphens/>
              <w:spacing w:after="240"/>
              <w:jc w:val="both"/>
              <w:rPr>
                <w:lang w:eastAsia="ar-SA"/>
              </w:rPr>
            </w:pPr>
            <w:r>
              <w:rPr>
                <w:lang w:eastAsia="ar-SA"/>
              </w:rPr>
              <w:lastRenderedPageBreak/>
              <w:t>22.</w:t>
            </w:r>
          </w:p>
        </w:tc>
        <w:tc>
          <w:tcPr>
            <w:tcW w:w="2834" w:type="dxa"/>
            <w:tcBorders>
              <w:top w:val="single" w:sz="4" w:space="0" w:color="000000"/>
              <w:left w:val="single" w:sz="4" w:space="0" w:color="000000"/>
              <w:bottom w:val="single" w:sz="4" w:space="0" w:color="000000"/>
              <w:right w:val="single" w:sz="4" w:space="0" w:color="auto"/>
            </w:tcBorders>
            <w:hideMark/>
          </w:tcPr>
          <w:p w:rsidR="00DE62EB" w:rsidRPr="00C83126" w:rsidRDefault="00DE62EB" w:rsidP="003B39F8">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Pr>
                <w:color w:val="222222"/>
              </w:rPr>
              <w:t xml:space="preserve">hodnoty </w:t>
            </w:r>
            <w:r w:rsidRPr="00C83126">
              <w:rPr>
                <w:color w:val="222222"/>
              </w:rPr>
              <w:t>původní zakázky</w:t>
            </w:r>
            <w:r>
              <w:rPr>
                <w:color w:val="222222"/>
              </w:rPr>
              <w:t xml:space="preserve"> u VZMR, 30% hodnoty původní zakázky u zakázek v režimu zákona.</w:t>
            </w:r>
          </w:p>
        </w:tc>
        <w:tc>
          <w:tcPr>
            <w:tcW w:w="3230" w:type="dxa"/>
            <w:tcBorders>
              <w:top w:val="single" w:sz="4" w:space="0" w:color="000000"/>
              <w:left w:val="single" w:sz="4" w:space="0" w:color="auto"/>
              <w:bottom w:val="single" w:sz="4" w:space="0" w:color="000000"/>
              <w:right w:val="nil"/>
            </w:tcBorders>
          </w:tcPr>
          <w:p w:rsidR="00DE62EB" w:rsidRPr="00C83126" w:rsidRDefault="00DE62EB" w:rsidP="003B39F8">
            <w:pPr>
              <w:tabs>
                <w:tab w:val="center" w:pos="4536"/>
                <w:tab w:val="right" w:pos="9072"/>
              </w:tabs>
              <w:suppressAutoHyphens/>
              <w:spacing w:after="240"/>
              <w:jc w:val="both"/>
              <w:rPr>
                <w:lang w:eastAsia="ar-SA"/>
              </w:rPr>
            </w:pPr>
          </w:p>
        </w:tc>
        <w:tc>
          <w:tcPr>
            <w:tcW w:w="2537" w:type="dxa"/>
            <w:tcBorders>
              <w:top w:val="single" w:sz="4" w:space="0" w:color="000000"/>
              <w:left w:val="single" w:sz="4" w:space="0" w:color="000000"/>
              <w:bottom w:val="single" w:sz="4" w:space="0" w:color="000000"/>
              <w:right w:val="single" w:sz="4" w:space="0" w:color="000000"/>
            </w:tcBorders>
            <w:hideMark/>
          </w:tcPr>
          <w:p w:rsidR="00DE62EB" w:rsidRPr="00C83126" w:rsidRDefault="00DE62EB" w:rsidP="003B39F8">
            <w:pPr>
              <w:tabs>
                <w:tab w:val="center" w:pos="4536"/>
                <w:tab w:val="right" w:pos="9072"/>
              </w:tabs>
              <w:suppressAutoHyphens/>
              <w:jc w:val="both"/>
              <w:rPr>
                <w:lang w:eastAsia="ar-SA"/>
              </w:rPr>
            </w:pPr>
            <w:r w:rsidRPr="00C83126">
              <w:rPr>
                <w:color w:val="222222"/>
              </w:rPr>
              <w:t>100 % z částky přesahující 50 % ceny původní zakázky</w:t>
            </w:r>
            <w:r>
              <w:rPr>
                <w:color w:val="222222"/>
              </w:rPr>
              <w:t xml:space="preserve"> u VZMR a 30% ceny původní zakázky u zakázek v režimu zákona.</w:t>
            </w:r>
            <w:r w:rsidRPr="00C83126">
              <w:rPr>
                <w:lang w:eastAsia="ar-SA"/>
              </w:rPr>
              <w:t xml:space="preserve"> </w:t>
            </w:r>
          </w:p>
        </w:tc>
      </w:tr>
    </w:tbl>
    <w:p w:rsidR="00AE2683" w:rsidRDefault="00AE2683" w:rsidP="00DE62EB">
      <w:pPr>
        <w:pStyle w:val="Mjstyl3"/>
        <w:numPr>
          <w:ilvl w:val="0"/>
          <w:numId w:val="0"/>
        </w:numPr>
        <w:ind w:left="432" w:hanging="432"/>
        <w:rPr>
          <w:rFonts w:ascii="Times New Roman" w:hAnsi="Times New Roman" w:cs="Times New Roman"/>
          <w:b/>
          <w:sz w:val="24"/>
          <w:szCs w:val="24"/>
        </w:rPr>
      </w:pPr>
    </w:p>
    <w:p w:rsidR="00DE62EB" w:rsidRPr="00C83126" w:rsidRDefault="00DE62EB" w:rsidP="00DE62EB">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516"/>
        <w:gridCol w:w="2776"/>
        <w:gridCol w:w="2987"/>
        <w:gridCol w:w="2788"/>
      </w:tblGrid>
      <w:tr w:rsidR="00DE62EB" w:rsidRPr="007C5849" w:rsidTr="003B39F8">
        <w:tc>
          <w:tcPr>
            <w:tcW w:w="0" w:type="auto"/>
            <w:tcBorders>
              <w:top w:val="single" w:sz="4" w:space="0" w:color="000000"/>
              <w:left w:val="single" w:sz="4" w:space="0" w:color="000000"/>
              <w:bottom w:val="single" w:sz="4" w:space="0" w:color="000000"/>
              <w:right w:val="nil"/>
            </w:tcBorders>
          </w:tcPr>
          <w:p w:rsidR="00DE62EB" w:rsidRDefault="00DE62EB" w:rsidP="003B39F8">
            <w:pPr>
              <w:suppressAutoHyphens/>
              <w:jc w:val="both"/>
              <w:rPr>
                <w:lang w:eastAsia="ar-SA"/>
              </w:rPr>
            </w:pPr>
          </w:p>
        </w:tc>
        <w:tc>
          <w:tcPr>
            <w:tcW w:w="2788" w:type="dxa"/>
            <w:tcBorders>
              <w:top w:val="single" w:sz="4" w:space="0" w:color="000000"/>
              <w:left w:val="single" w:sz="4" w:space="0" w:color="000000"/>
              <w:bottom w:val="single" w:sz="4" w:space="0" w:color="000000"/>
              <w:right w:val="single" w:sz="4" w:space="0" w:color="auto"/>
            </w:tcBorders>
          </w:tcPr>
          <w:p w:rsidR="00DE62EB" w:rsidRPr="007E3B48" w:rsidRDefault="00DE62EB" w:rsidP="003B39F8">
            <w:pPr>
              <w:tabs>
                <w:tab w:val="center" w:pos="4153"/>
                <w:tab w:val="center" w:pos="4536"/>
                <w:tab w:val="right" w:pos="8306"/>
                <w:tab w:val="right" w:pos="9072"/>
              </w:tabs>
              <w:suppressAutoHyphens/>
              <w:jc w:val="both"/>
            </w:pPr>
            <w:r w:rsidRPr="003024AC">
              <w:rPr>
                <w:b/>
                <w:lang w:eastAsia="ar-SA"/>
              </w:rPr>
              <w:t>Typ porušení</w:t>
            </w:r>
          </w:p>
        </w:tc>
        <w:tc>
          <w:tcPr>
            <w:tcW w:w="3011" w:type="dxa"/>
            <w:tcBorders>
              <w:top w:val="single" w:sz="4" w:space="0" w:color="000000"/>
              <w:left w:val="single" w:sz="4" w:space="0" w:color="auto"/>
              <w:bottom w:val="single" w:sz="4" w:space="0" w:color="000000"/>
              <w:right w:val="nil"/>
            </w:tcBorders>
          </w:tcPr>
          <w:p w:rsidR="00DE62EB" w:rsidRPr="007E3B48" w:rsidRDefault="00DE62EB" w:rsidP="003B39F8">
            <w:pPr>
              <w:tabs>
                <w:tab w:val="center" w:pos="4153"/>
                <w:tab w:val="center" w:pos="4536"/>
                <w:tab w:val="right" w:pos="8306"/>
                <w:tab w:val="right" w:pos="9072"/>
              </w:tabs>
              <w:suppressAutoHyphens/>
              <w:jc w:val="both"/>
            </w:pPr>
          </w:p>
        </w:tc>
        <w:tc>
          <w:tcPr>
            <w:tcW w:w="2802" w:type="dxa"/>
            <w:tcBorders>
              <w:top w:val="single" w:sz="4" w:space="0" w:color="000000"/>
              <w:left w:val="single" w:sz="4" w:space="0" w:color="000000"/>
              <w:bottom w:val="single" w:sz="4" w:space="0" w:color="000000"/>
              <w:right w:val="single" w:sz="4" w:space="0" w:color="000000"/>
            </w:tcBorders>
          </w:tcPr>
          <w:p w:rsidR="00DE62EB" w:rsidRPr="007E3B48" w:rsidRDefault="00DE62EB" w:rsidP="003B39F8">
            <w:pPr>
              <w:jc w:val="both"/>
            </w:pPr>
            <w:r w:rsidRPr="003024AC">
              <w:rPr>
                <w:b/>
                <w:lang w:eastAsia="ar-SA"/>
              </w:rPr>
              <w:t>Sazba finanční opravy</w:t>
            </w:r>
          </w:p>
        </w:tc>
      </w:tr>
      <w:tr w:rsidR="00DE62EB" w:rsidRPr="007C5849" w:rsidTr="003B39F8">
        <w:tc>
          <w:tcPr>
            <w:tcW w:w="0" w:type="auto"/>
            <w:tcBorders>
              <w:top w:val="single" w:sz="4" w:space="0" w:color="000000"/>
              <w:left w:val="single" w:sz="4" w:space="0" w:color="000000"/>
              <w:bottom w:val="single" w:sz="4" w:space="0" w:color="000000"/>
              <w:right w:val="nil"/>
            </w:tcBorders>
          </w:tcPr>
          <w:p w:rsidR="00DE62EB" w:rsidRPr="000C3337" w:rsidRDefault="00DE62EB" w:rsidP="003B39F8">
            <w:pPr>
              <w:suppressAutoHyphens/>
              <w:spacing w:after="240"/>
              <w:jc w:val="both"/>
              <w:rPr>
                <w:lang w:eastAsia="ar-SA"/>
              </w:rPr>
            </w:pPr>
            <w:r>
              <w:rPr>
                <w:lang w:eastAsia="ar-SA"/>
              </w:rPr>
              <w:t>23.</w:t>
            </w:r>
          </w:p>
        </w:tc>
        <w:tc>
          <w:tcPr>
            <w:tcW w:w="2788" w:type="dxa"/>
            <w:tcBorders>
              <w:top w:val="single" w:sz="4" w:space="0" w:color="000000"/>
              <w:left w:val="single" w:sz="4" w:space="0" w:color="000000"/>
              <w:bottom w:val="single" w:sz="4" w:space="0" w:color="000000"/>
              <w:right w:val="single" w:sz="4" w:space="0" w:color="auto"/>
            </w:tcBorders>
          </w:tcPr>
          <w:p w:rsidR="00DE62EB" w:rsidRPr="000C3337" w:rsidRDefault="00DE62EB" w:rsidP="003B39F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3011" w:type="dxa"/>
            <w:tcBorders>
              <w:top w:val="single" w:sz="4" w:space="0" w:color="000000"/>
              <w:left w:val="single" w:sz="4" w:space="0" w:color="auto"/>
              <w:bottom w:val="single" w:sz="4" w:space="0" w:color="000000"/>
              <w:right w:val="nil"/>
            </w:tcBorders>
          </w:tcPr>
          <w:p w:rsidR="00DE62EB" w:rsidRPr="000C3337" w:rsidRDefault="00DE62EB" w:rsidP="003B39F8">
            <w:pPr>
              <w:tabs>
                <w:tab w:val="center" w:pos="4153"/>
                <w:tab w:val="center" w:pos="4536"/>
                <w:tab w:val="right" w:pos="8306"/>
                <w:tab w:val="right" w:pos="9072"/>
              </w:tabs>
              <w:suppressAutoHyphens/>
              <w:spacing w:after="240"/>
              <w:jc w:val="both"/>
              <w:rPr>
                <w:lang w:eastAsia="ar-SA"/>
              </w:rPr>
            </w:pPr>
          </w:p>
        </w:tc>
        <w:tc>
          <w:tcPr>
            <w:tcW w:w="2802" w:type="dxa"/>
            <w:tcBorders>
              <w:top w:val="single" w:sz="4" w:space="0" w:color="000000"/>
              <w:left w:val="single" w:sz="4" w:space="0" w:color="000000"/>
              <w:bottom w:val="single" w:sz="4" w:space="0" w:color="000000"/>
              <w:right w:val="single" w:sz="4" w:space="0" w:color="000000"/>
            </w:tcBorders>
          </w:tcPr>
          <w:p w:rsidR="00DE62EB" w:rsidRPr="00AA7E86" w:rsidRDefault="00DE62EB" w:rsidP="003B39F8">
            <w:pPr>
              <w:tabs>
                <w:tab w:val="center" w:pos="4536"/>
                <w:tab w:val="right" w:pos="9072"/>
              </w:tabs>
              <w:suppressAutoHyphens/>
              <w:jc w:val="both"/>
              <w:rPr>
                <w:color w:val="222222"/>
              </w:rPr>
            </w:pPr>
            <w:r w:rsidRPr="00AA7E86">
              <w:rPr>
                <w:rStyle w:val="hps"/>
                <w:color w:val="222222"/>
              </w:rPr>
              <w:t xml:space="preserve">min. 25 </w:t>
            </w:r>
            <w:r w:rsidRPr="00AA7E86">
              <w:rPr>
                <w:color w:val="222222"/>
              </w:rPr>
              <w:t>% nebo</w:t>
            </w:r>
          </w:p>
          <w:p w:rsidR="00DE62EB" w:rsidRPr="000C3337" w:rsidRDefault="00DE62EB" w:rsidP="003B39F8">
            <w:pPr>
              <w:tabs>
                <w:tab w:val="center" w:pos="4536"/>
                <w:tab w:val="right" w:pos="9072"/>
              </w:tabs>
              <w:suppressAutoHyphens/>
              <w:jc w:val="both"/>
              <w:rPr>
                <w:rStyle w:val="hps"/>
                <w:color w:val="222222"/>
              </w:rPr>
            </w:pPr>
            <w:r w:rsidRPr="00AA7E86">
              <w:rPr>
                <w:lang w:eastAsia="ar-SA"/>
              </w:rPr>
              <w:t xml:space="preserve">min. 10 % nebo </w:t>
            </w:r>
            <w:r>
              <w:rPr>
                <w:lang w:eastAsia="ar-SA"/>
              </w:rPr>
              <w:t xml:space="preserve">min. </w:t>
            </w:r>
            <w:r w:rsidRPr="00AA7E86">
              <w:rPr>
                <w:lang w:eastAsia="ar-SA"/>
              </w:rPr>
              <w:t>5 %</w:t>
            </w:r>
            <w:r w:rsidRPr="00AA7E86">
              <w:rPr>
                <w:color w:val="222222"/>
              </w:rPr>
              <w:t xml:space="preserve"> s</w:t>
            </w:r>
            <w:r>
              <w:rPr>
                <w:color w:val="222222"/>
              </w:rPr>
              <w:t> </w:t>
            </w:r>
            <w:r w:rsidRPr="00AA7E86">
              <w:rPr>
                <w:color w:val="222222"/>
              </w:rPr>
              <w:t>ohledem na malou závažnost porušení</w:t>
            </w:r>
          </w:p>
        </w:tc>
      </w:tr>
    </w:tbl>
    <w:p w:rsidR="00DE62EB" w:rsidRDefault="00DE62EB" w:rsidP="00DE62EB">
      <w:pPr>
        <w:widowControl w:val="0"/>
        <w:ind w:right="-2"/>
        <w:jc w:val="both"/>
        <w:rPr>
          <w:snapToGrid w:val="0"/>
        </w:rPr>
      </w:pPr>
    </w:p>
    <w:p w:rsidR="00DE62EB" w:rsidRDefault="00DE62EB" w:rsidP="00DE62EB">
      <w:pPr>
        <w:widowControl w:val="0"/>
        <w:ind w:left="1080" w:right="-2"/>
        <w:jc w:val="both"/>
        <w:rPr>
          <w:snapToGrid w:val="0"/>
        </w:rPr>
      </w:pPr>
    </w:p>
    <w:p w:rsidR="00DE62EB" w:rsidRPr="00DE2A12" w:rsidRDefault="00DE62EB" w:rsidP="00DE62EB">
      <w:pPr>
        <w:numPr>
          <w:ilvl w:val="0"/>
          <w:numId w:val="6"/>
        </w:numPr>
        <w:spacing w:before="240"/>
        <w:ind w:right="-2"/>
        <w:jc w:val="both"/>
        <w:rPr>
          <w:snapToGrid w:val="0"/>
        </w:rPr>
      </w:pPr>
      <w:r>
        <w:rPr>
          <w:snapToGrid w:val="0"/>
        </w:rPr>
        <w:t>Při nenaplnění v</w:t>
      </w:r>
      <w:r w:rsidRPr="007906FC">
        <w:rPr>
          <w:snapToGrid w:val="0"/>
        </w:rPr>
        <w:t xml:space="preserve"> části </w:t>
      </w:r>
      <w:r>
        <w:rPr>
          <w:snapToGrid w:val="0"/>
        </w:rPr>
        <w:t>II stanovených indikátorů</w:t>
      </w:r>
      <w:r w:rsidRPr="007906FC">
        <w:rPr>
          <w:snapToGrid w:val="0"/>
        </w:rPr>
        <w:t>, na které je poskytnutí prostředků vázáno bodem 4, bude při naplnění plánované hodnoty indikátorů v rozmezí od 50</w:t>
      </w:r>
      <w:r w:rsidRPr="00710A02">
        <w:rPr>
          <w:snapToGrid w:val="0"/>
        </w:rPr>
        <w:t xml:space="preserve"> % včetně -  do </w:t>
      </w:r>
      <w:r w:rsidRPr="00C16463">
        <w:rPr>
          <w:snapToGrid w:val="0"/>
        </w:rPr>
        <w:t xml:space="preserve">90 </w:t>
      </w:r>
      <w:r w:rsidRPr="007208E6">
        <w:rPr>
          <w:snapToGrid w:val="0"/>
        </w:rPr>
        <w:t xml:space="preserve">% </w:t>
      </w:r>
      <w:r>
        <w:rPr>
          <w:snapToGrid w:val="0"/>
        </w:rPr>
        <w:t xml:space="preserve">stanovena finanční oprava </w:t>
      </w:r>
      <w:r w:rsidRPr="00710A02">
        <w:rPr>
          <w:snapToGrid w:val="0"/>
        </w:rPr>
        <w:t xml:space="preserve">dle </w:t>
      </w:r>
      <w:r>
        <w:rPr>
          <w:snapToGrid w:val="0"/>
        </w:rPr>
        <w:t xml:space="preserve">poměrné části </w:t>
      </w:r>
      <w:r w:rsidRPr="00710A02">
        <w:rPr>
          <w:snapToGrid w:val="0"/>
        </w:rPr>
        <w:t>míry nenaplnění; při naplnění plánované hodnoty indikátorů na méně než 50 %, ne</w:t>
      </w:r>
      <w:r w:rsidRPr="007208E6">
        <w:rPr>
          <w:snapToGrid w:val="0"/>
        </w:rPr>
        <w:t>bude požadovaná částka vyplacena.</w:t>
      </w:r>
      <w:r>
        <w:rPr>
          <w:snapToGrid w:val="0"/>
        </w:rPr>
        <w:t xml:space="preserve"> Při naplnění hodnot indikátorů v rozmezí 100% - 90% včetně se nejedná o porušení rozpočtové kázně. </w:t>
      </w:r>
      <w:r w:rsidRPr="00DE2A12">
        <w:rPr>
          <w:snapToGrid w:val="0"/>
        </w:rPr>
        <w:t>Pokud příjemce požádá o změnu monitorovacích indikátorů v projektu a tato změna mu bude ŘO OPD schválena, nebude sankcionován za jejich nenaplnění.</w:t>
      </w:r>
    </w:p>
    <w:p w:rsidR="00DE62EB" w:rsidRPr="007208E6" w:rsidRDefault="00DE62EB" w:rsidP="00DE62EB">
      <w:pPr>
        <w:numPr>
          <w:ilvl w:val="0"/>
          <w:numId w:val="6"/>
        </w:numPr>
        <w:spacing w:before="240"/>
        <w:ind w:right="-2"/>
        <w:jc w:val="both"/>
        <w:rPr>
          <w:snapToGrid w:val="0"/>
        </w:rPr>
      </w:pPr>
      <w:r>
        <w:rPr>
          <w:snapToGrid w:val="0"/>
        </w:rPr>
        <w:lastRenderedPageBreak/>
        <w:t xml:space="preserve">Při nedodržení v </w:t>
      </w:r>
      <w:r w:rsidRPr="00645010">
        <w:rPr>
          <w:snapToGrid w:val="0"/>
        </w:rPr>
        <w:t> části III</w:t>
      </w:r>
      <w:r>
        <w:rPr>
          <w:snapToGrid w:val="0"/>
        </w:rPr>
        <w:t xml:space="preserve"> uvedených podmínek</w:t>
      </w:r>
      <w:r w:rsidRPr="00645010">
        <w:rPr>
          <w:snapToGrid w:val="0"/>
        </w:rPr>
        <w:t>, na které je poskytnutí požadované částky vázáno pod bodem</w:t>
      </w:r>
      <w:r>
        <w:rPr>
          <w:snapToGrid w:val="0"/>
        </w:rPr>
        <w:t xml:space="preserve"> 7</w:t>
      </w:r>
      <w:r w:rsidRPr="00645010">
        <w:rPr>
          <w:snapToGrid w:val="0"/>
        </w:rPr>
        <w:t>, bude v případech porušení</w:t>
      </w:r>
      <w:r>
        <w:rPr>
          <w:snapToGrid w:val="0"/>
        </w:rPr>
        <w:t xml:space="preserve"> stanovena finanční oprava 100% vyplacené dotace / požadovaná částka nebude vyplacena.</w:t>
      </w:r>
    </w:p>
    <w:p w:rsidR="00DE62EB" w:rsidRPr="00632633" w:rsidRDefault="00DE62EB" w:rsidP="00DE62EB">
      <w:pPr>
        <w:numPr>
          <w:ilvl w:val="0"/>
          <w:numId w:val="6"/>
        </w:numPr>
        <w:spacing w:before="240"/>
        <w:ind w:right="-2"/>
        <w:jc w:val="both"/>
        <w:rPr>
          <w:snapToGrid w:val="0"/>
        </w:rPr>
      </w:pPr>
      <w:r>
        <w:rPr>
          <w:snapToGrid w:val="0"/>
        </w:rPr>
        <w:t xml:space="preserve">Při porušení </w:t>
      </w:r>
      <w:r w:rsidRPr="00645010">
        <w:rPr>
          <w:snapToGrid w:val="0"/>
        </w:rPr>
        <w:t>v části III</w:t>
      </w:r>
      <w:r>
        <w:rPr>
          <w:snapToGrid w:val="0"/>
        </w:rPr>
        <w:t xml:space="preserve"> uvedených podmínek</w:t>
      </w:r>
      <w:r w:rsidRPr="00645010">
        <w:rPr>
          <w:snapToGrid w:val="0"/>
        </w:rPr>
        <w:t>, na které je poskytnutí požadované částky vázáno pod bodem</w:t>
      </w:r>
      <w:r>
        <w:rPr>
          <w:snapToGrid w:val="0"/>
        </w:rPr>
        <w:t xml:space="preserve"> 9</w:t>
      </w:r>
      <w:r w:rsidRPr="00645010">
        <w:rPr>
          <w:snapToGrid w:val="0"/>
        </w:rPr>
        <w:t>, bude</w:t>
      </w:r>
      <w:r>
        <w:rPr>
          <w:snapToGrid w:val="0"/>
        </w:rPr>
        <w:t> </w:t>
      </w:r>
      <w:r w:rsidRPr="00645010">
        <w:rPr>
          <w:snapToGrid w:val="0"/>
        </w:rPr>
        <w:t xml:space="preserve">v případech porušení uvedených </w:t>
      </w:r>
      <w:r>
        <w:rPr>
          <w:snapToGrid w:val="0"/>
        </w:rPr>
        <w:t>v </w:t>
      </w:r>
      <w:r w:rsidRPr="007B1CD8">
        <w:rPr>
          <w:snapToGrid w:val="0"/>
        </w:rPr>
        <w:t>M</w:t>
      </w:r>
      <w:r>
        <w:rPr>
          <w:snapToGrid w:val="0"/>
        </w:rPr>
        <w:t xml:space="preserve">P RLZ udělena finanční oprava dle typu porušení </w:t>
      </w:r>
      <w:r w:rsidRPr="00075824">
        <w:rPr>
          <w:snapToGrid w:val="0"/>
        </w:rPr>
        <w:t xml:space="preserve">uvedených v tabulce č. 5. </w:t>
      </w:r>
      <w:r w:rsidRPr="00572034">
        <w:t xml:space="preserve">V případě více pochybení v rámci jednoho výběrového řízení </w:t>
      </w:r>
      <w:r w:rsidRPr="00572034">
        <w:rPr>
          <w:b/>
        </w:rPr>
        <w:t>nejsou sankce sčítány</w:t>
      </w:r>
      <w:r w:rsidRPr="00572034">
        <w:t xml:space="preserve">, nýbrž je uplatněna nejvyšší z příslušných sankcí. </w:t>
      </w:r>
      <w:r w:rsidRPr="00075824">
        <w:rPr>
          <w:snapToGrid w:val="0"/>
        </w:rPr>
        <w:t xml:space="preserve"> </w:t>
      </w:r>
      <w:r w:rsidR="00136F23">
        <w:t>Pro subjekty implementace, jejichž zaměstnanci jsou v působnosti zákona č. 234/2014 Sb., o státní službě, jsou pochybení uvedená v tabulce č. 5 posuzována s ohledem na požadavky a pravidla tohoto zákona, vč. prováděcích a služebních předpisů.</w:t>
      </w:r>
    </w:p>
    <w:p w:rsidR="00DE62EB" w:rsidRDefault="00DE62EB" w:rsidP="00DE62EB">
      <w:pPr>
        <w:pStyle w:val="Zkladntext"/>
        <w:numPr>
          <w:ilvl w:val="0"/>
          <w:numId w:val="6"/>
        </w:numPr>
        <w:tabs>
          <w:tab w:val="num" w:pos="993"/>
        </w:tabs>
        <w:spacing w:after="120"/>
        <w:jc w:val="both"/>
        <w:rPr>
          <w:szCs w:val="24"/>
        </w:rPr>
      </w:pPr>
      <w:r>
        <w:rPr>
          <w:szCs w:val="24"/>
        </w:rPr>
        <w:t xml:space="preserve">Za porušení dalších povinností dle závazných právních a metodických předpisů, vč. Pravidel pro žadatele a příjemce 2014-2020, neuvedených v tabulkách </w:t>
      </w:r>
      <w:r w:rsidR="00136F23">
        <w:rPr>
          <w:szCs w:val="24"/>
        </w:rPr>
        <w:t>č. 1 až 7</w:t>
      </w:r>
      <w:r>
        <w:rPr>
          <w:szCs w:val="24"/>
        </w:rPr>
        <w:t xml:space="preserve"> stanoví ŘO OPD finanční opravu 0% - 100% dle míry závažnosti porušení.</w:t>
      </w:r>
    </w:p>
    <w:p w:rsidR="00DE62EB" w:rsidRDefault="00DE62EB" w:rsidP="00DE62EB">
      <w:pPr>
        <w:spacing w:before="240"/>
        <w:ind w:left="765" w:right="-2"/>
        <w:jc w:val="both"/>
        <w:rPr>
          <w:snapToGrid w:val="0"/>
        </w:rPr>
      </w:pPr>
    </w:p>
    <w:p w:rsidR="00DE62EB" w:rsidRPr="00572034" w:rsidRDefault="00DE62EB" w:rsidP="00DE62EB">
      <w:pPr>
        <w:keepNext/>
        <w:keepLines/>
        <w:widowControl w:val="0"/>
        <w:ind w:right="-2"/>
        <w:jc w:val="both"/>
        <w:rPr>
          <w:snapToGrid w:val="0"/>
        </w:rPr>
      </w:pPr>
      <w:r w:rsidRPr="00572034">
        <w:rPr>
          <w:b/>
          <w:snapToGrid w:val="0"/>
        </w:rPr>
        <w:lastRenderedPageBreak/>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48"/>
        <w:gridCol w:w="3629"/>
        <w:gridCol w:w="4686"/>
        <w:gridCol w:w="981"/>
      </w:tblGrid>
      <w:tr w:rsidR="00DE62EB" w:rsidRPr="002C2E02" w:rsidTr="003B39F8">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b/>
                <w:bCs/>
                <w:color w:val="000000"/>
              </w:rPr>
            </w:pPr>
            <w:r w:rsidRPr="0098622E">
              <w:rPr>
                <w:b/>
                <w:bCs/>
                <w:color w:val="000000"/>
              </w:rPr>
              <w:t>Výše finanční korekce (v %)</w:t>
            </w:r>
          </w:p>
        </w:tc>
      </w:tr>
      <w:tr w:rsidR="00DE62EB" w:rsidRPr="002C2E02" w:rsidTr="003B39F8">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DE62EB" w:rsidRPr="0098622E" w:rsidRDefault="00136F23" w:rsidP="003B39F8">
            <w:pPr>
              <w:keepNext/>
              <w:keepLines/>
              <w:jc w:val="both"/>
              <w:rPr>
                <w:color w:val="000000"/>
              </w:rPr>
            </w:pPr>
            <w:r>
              <w:t>Přijetí nového zaměstnance bez VŘ, kromě výjimek daných MP lidské zdroje a/nebo neexistence jakékoliv odpovídající auditní stopy o uskutečněném VŘ, tj. auditovaný subjekt není schopen doložit žádné odpovídající dokumenty související s přijetím nového zaměstnance.</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100</w:t>
            </w:r>
          </w:p>
        </w:tc>
      </w:tr>
      <w:tr w:rsidR="00DE62EB" w:rsidRPr="002C2E02" w:rsidTr="003B39F8">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100</w:t>
            </w:r>
          </w:p>
        </w:tc>
      </w:tr>
      <w:tr w:rsidR="00DE62EB" w:rsidRPr="002C2E02" w:rsidTr="003B39F8">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DE62EB" w:rsidRPr="0098622E" w:rsidRDefault="00136F23" w:rsidP="00136F23">
            <w:pPr>
              <w:keepNext/>
              <w:keepLines/>
              <w:jc w:val="both"/>
              <w:rPr>
                <w:color w:val="000000"/>
              </w:rPr>
            </w:pPr>
            <w:r>
              <w:t>Vybraný uchazeč nesplňuje předpoklady a klíčové požadavky</w:t>
            </w:r>
            <w:r>
              <w:rPr>
                <w:rStyle w:val="Znakapoznpodarou"/>
                <w:color w:val="000000"/>
              </w:rPr>
              <w:footnoteReference w:id="16"/>
            </w:r>
            <w:r>
              <w:t xml:space="preserve"> uvedené v inzerátu/oznámení, např. požadovanou praxi, vzdělání, jazykové znalosti, včetně doložení požadavků a předpokladů příslušnými listinami.</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100</w:t>
            </w:r>
          </w:p>
        </w:tc>
      </w:tr>
      <w:tr w:rsidR="00DE62EB" w:rsidRPr="002C2E02" w:rsidTr="003B39F8">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DE62EB" w:rsidRPr="0098622E" w:rsidRDefault="00136F23" w:rsidP="003B39F8">
            <w:pPr>
              <w:keepNext/>
              <w:keepLines/>
              <w:jc w:val="both"/>
              <w:rPr>
                <w:color w:val="000000"/>
              </w:rPr>
            </w:pPr>
            <w:r>
              <w:t>Pochybení ve zveřejnění výběrového řízení.</w:t>
            </w: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136F23" w:rsidP="00DE3E01">
            <w:pPr>
              <w:keepNext/>
              <w:keepLines/>
              <w:jc w:val="both"/>
              <w:rPr>
                <w:color w:val="000000"/>
              </w:rPr>
            </w:pPr>
            <w:r>
              <w:t>a) Nezveřejnění inzerátu/oznámení ani na jednom povinném webu</w:t>
            </w:r>
            <w:r w:rsidR="00DE3E01">
              <w:rPr>
                <w:rStyle w:val="Znakapoznpodarou"/>
              </w:rPr>
              <w:footnoteReference w:id="17"/>
            </w:r>
            <w:r w:rsidR="00DE3E01">
              <w:t xml:space="preserve"> (pracovní poměr dle ZP) </w:t>
            </w:r>
            <w:r>
              <w:t>nebo nezveřejnění n</w:t>
            </w:r>
            <w:r w:rsidR="00DE3E01">
              <w:t>a úřední desce</w:t>
            </w:r>
            <w:r w:rsidR="00DE3E01">
              <w:rPr>
                <w:rStyle w:val="Znakapoznpodarou"/>
              </w:rPr>
              <w:footnoteReference w:id="18"/>
            </w:r>
            <w:r w:rsidR="00DE3E01">
              <w:t xml:space="preserve"> (služební poměr)</w:t>
            </w:r>
            <w:r>
              <w:t>.</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100</w:t>
            </w:r>
          </w:p>
        </w:tc>
      </w:tr>
      <w:tr w:rsidR="00DE62EB" w:rsidRPr="002C2E02" w:rsidTr="003B39F8">
        <w:trPr>
          <w:trHeight w:val="1185"/>
        </w:trPr>
        <w:tc>
          <w:tcPr>
            <w:tcW w:w="960"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keepNext/>
              <w:keepLines/>
              <w:jc w:val="both"/>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keepNext/>
              <w:keepLines/>
              <w:jc w:val="both"/>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keepNext/>
              <w:keepLines/>
              <w:jc w:val="both"/>
              <w:rPr>
                <w:color w:val="000000"/>
              </w:rPr>
            </w:pPr>
            <w:r w:rsidRPr="0098622E">
              <w:rPr>
                <w:color w:val="000000"/>
              </w:rPr>
              <w:t>100</w:t>
            </w:r>
          </w:p>
        </w:tc>
      </w:tr>
      <w:tr w:rsidR="00DE62EB" w:rsidRPr="002C2E02" w:rsidTr="003B39F8">
        <w:trPr>
          <w:trHeight w:val="1005"/>
        </w:trPr>
        <w:tc>
          <w:tcPr>
            <w:tcW w:w="960"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 xml:space="preserve">c) Zveřejnění inzerátu jen na jednom </w:t>
            </w:r>
            <w:r w:rsidR="00DE3E01">
              <w:rPr>
                <w:color w:val="000000"/>
              </w:rPr>
              <w:t xml:space="preserve">povinném </w:t>
            </w:r>
            <w:r w:rsidRPr="0098622E">
              <w:rPr>
                <w:color w:val="000000"/>
              </w:rPr>
              <w:t>webu (dané organizace či na www.</w:t>
            </w:r>
            <w:r>
              <w:rPr>
                <w:color w:val="000000"/>
              </w:rPr>
              <w:t>dotaceeu</w:t>
            </w:r>
            <w:r w:rsidRPr="0098622E">
              <w:rPr>
                <w:color w:val="000000"/>
              </w:rPr>
              <w:t>.cz).</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10</w:t>
            </w:r>
          </w:p>
        </w:tc>
      </w:tr>
      <w:tr w:rsidR="00DE62EB" w:rsidRPr="002C2E02" w:rsidTr="003B39F8">
        <w:trPr>
          <w:trHeight w:val="960"/>
        </w:trPr>
        <w:tc>
          <w:tcPr>
            <w:tcW w:w="960"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10</w:t>
            </w:r>
          </w:p>
        </w:tc>
      </w:tr>
      <w:tr w:rsidR="00DE62EB" w:rsidRPr="002C2E02" w:rsidTr="003B39F8">
        <w:trPr>
          <w:trHeight w:val="3319"/>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lastRenderedPageBreak/>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DE62EB" w:rsidRDefault="00DE62EB" w:rsidP="00310D2F">
            <w:pPr>
              <w:jc w:val="both"/>
              <w:rPr>
                <w:color w:val="000000"/>
              </w:rPr>
            </w:pPr>
            <w:r w:rsidRPr="0098622E">
              <w:rPr>
                <w:color w:val="000000"/>
              </w:rPr>
              <w:t>Neúplná auditní stopa – auditovaný subjekt nebyl schopen předložit všechny potřebné doklady následující auditní stopu</w:t>
            </w:r>
            <w:r w:rsidR="00303A3C">
              <w:rPr>
                <w:color w:val="000000"/>
              </w:rPr>
              <w:t xml:space="preserve"> </w:t>
            </w:r>
            <w:r w:rsidR="00303A3C">
              <w:t>(příp. doklady na základě platné legislativy),</w:t>
            </w:r>
            <w:r w:rsidRPr="0098622E">
              <w:rPr>
                <w:color w:val="000000"/>
              </w:rPr>
              <w:t xml:space="preserve"> tzn. dokumenty související s přijetím nových zaměstnanců, ale podle dalších dokladů lze ověřit, že výběrové řízení</w:t>
            </w:r>
            <w:r w:rsidR="00310D2F">
              <w:rPr>
                <w:color w:val="000000"/>
              </w:rPr>
              <w:t xml:space="preserve"> </w:t>
            </w:r>
            <w:r w:rsidRPr="0098622E">
              <w:rPr>
                <w:color w:val="000000"/>
              </w:rPr>
              <w:t>proběhlo.</w:t>
            </w:r>
            <w:r w:rsidR="00310D2F">
              <w:rPr>
                <w:color w:val="000000"/>
              </w:rPr>
              <w:t xml:space="preserve">   </w:t>
            </w:r>
            <w:r w:rsidRPr="0098622E">
              <w:rPr>
                <w:color w:val="000000"/>
              </w:rPr>
              <w:br/>
            </w:r>
            <w:r w:rsidRPr="0098622E">
              <w:rPr>
                <w:color w:val="000000"/>
              </w:rPr>
              <w:br/>
              <w:t>Požadované doklady:</w:t>
            </w:r>
          </w:p>
          <w:p w:rsidR="00DE62EB" w:rsidRDefault="00DE62EB" w:rsidP="003B39F8">
            <w:pPr>
              <w:jc w:val="both"/>
              <w:rPr>
                <w:color w:val="000000"/>
              </w:rPr>
            </w:pPr>
            <w:r w:rsidRPr="0098622E">
              <w:rPr>
                <w:color w:val="000000"/>
              </w:rPr>
              <w:br/>
              <w:t xml:space="preserve">-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w:t>
            </w:r>
            <w:r w:rsidRPr="0098622E">
              <w:rPr>
                <w:color w:val="000000"/>
              </w:rPr>
              <w:lastRenderedPageBreak/>
              <w:t xml:space="preserve">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DE62EB" w:rsidRDefault="00DE62EB" w:rsidP="003B39F8">
            <w:pPr>
              <w:jc w:val="both"/>
              <w:rPr>
                <w:color w:val="000000"/>
              </w:rPr>
            </w:pPr>
            <w:r w:rsidRPr="0098622E">
              <w:rPr>
                <w:color w:val="000000"/>
              </w:rPr>
              <w:br/>
              <w:t>- zápis z výběrového řízení podepsaný všemi členy výběrové komise;</w:t>
            </w:r>
          </w:p>
          <w:p w:rsidR="00DE62EB" w:rsidRDefault="00DE62EB" w:rsidP="003B39F8">
            <w:pPr>
              <w:jc w:val="both"/>
              <w:rPr>
                <w:color w:val="000000"/>
              </w:rPr>
            </w:pPr>
            <w:r w:rsidRPr="0098622E">
              <w:rPr>
                <w:color w:val="000000"/>
              </w:rPr>
              <w:br/>
              <w:t>- doložení přijetí zaměstnance na volnou pracovní pozici bez skutečného výběrového řízení, vč. popsání důvodů a dalších okolností přijetí daného pracovníka</w:t>
            </w:r>
            <w:r w:rsidR="00085939">
              <w:rPr>
                <w:color w:val="000000"/>
              </w:rPr>
              <w:t>, viz bod 5 c) tabulky</w:t>
            </w:r>
            <w:r w:rsidRPr="0098622E">
              <w:rPr>
                <w:color w:val="000000"/>
              </w:rPr>
              <w:t>.</w:t>
            </w:r>
          </w:p>
          <w:p w:rsidR="00A925E1" w:rsidRDefault="00A925E1" w:rsidP="003B39F8">
            <w:pPr>
              <w:jc w:val="both"/>
              <w:rPr>
                <w:color w:val="000000"/>
              </w:rPr>
            </w:pPr>
          </w:p>
          <w:p w:rsidR="00A925E1" w:rsidRDefault="00085939" w:rsidP="003B39F8">
            <w:pPr>
              <w:jc w:val="both"/>
              <w:rPr>
                <w:color w:val="000000"/>
              </w:rPr>
            </w:pPr>
            <w:r>
              <w:rPr>
                <w:color w:val="000000"/>
              </w:rPr>
              <w:t>Dále v</w:t>
            </w:r>
            <w:r w:rsidR="00A925E1">
              <w:rPr>
                <w:color w:val="000000"/>
              </w:rPr>
              <w:t xml:space="preserve"> případě služebního poměru:</w:t>
            </w:r>
          </w:p>
          <w:p w:rsidR="00A925E1" w:rsidRDefault="00A925E1" w:rsidP="00AC0A0A">
            <w:pPr>
              <w:pStyle w:val="Odstavecseseznamem"/>
              <w:numPr>
                <w:ilvl w:val="0"/>
                <w:numId w:val="13"/>
              </w:numPr>
              <w:jc w:val="both"/>
              <w:rPr>
                <w:color w:val="000000"/>
              </w:rPr>
            </w:pPr>
            <w:r w:rsidRPr="00AC0A0A">
              <w:rPr>
                <w:color w:val="000000"/>
              </w:rPr>
              <w:t>doklad o zveřejnění oznámení o vyhlášeném výběrovém řízení na volné služební místo na úřední desce služebního orgánu</w:t>
            </w:r>
            <w:r>
              <w:rPr>
                <w:color w:val="000000"/>
              </w:rPr>
              <w:t>,</w:t>
            </w:r>
            <w:r w:rsidRPr="00A925E1">
              <w:rPr>
                <w:color w:val="000000"/>
              </w:rPr>
              <w:t xml:space="preserve"> </w:t>
            </w:r>
            <w:r w:rsidRPr="00AC0A0A">
              <w:rPr>
                <w:color w:val="000000"/>
              </w:rPr>
              <w:t xml:space="preserve">ze kterého musí být zřejmé datum zveřejnění a zároveň datum sejmutí, resp. uzávěrka příjmu přihlášek </w:t>
            </w:r>
          </w:p>
          <w:p w:rsidR="00A925E1" w:rsidRPr="00AC0A0A" w:rsidRDefault="00A925E1" w:rsidP="00AC0A0A">
            <w:pPr>
              <w:pStyle w:val="Odstavecseseznamem"/>
              <w:ind w:left="420"/>
              <w:jc w:val="both"/>
              <w:rPr>
                <w:color w:val="000000"/>
              </w:rPr>
            </w:pPr>
          </w:p>
          <w:p w:rsidR="00A925E1" w:rsidRDefault="00A925E1" w:rsidP="00AC0A0A">
            <w:pPr>
              <w:pStyle w:val="Odstavecseseznamem"/>
              <w:numPr>
                <w:ilvl w:val="0"/>
                <w:numId w:val="13"/>
              </w:numPr>
              <w:jc w:val="both"/>
              <w:rPr>
                <w:color w:val="000000"/>
              </w:rPr>
            </w:pPr>
            <w:r w:rsidRPr="00AC0A0A">
              <w:rPr>
                <w:color w:val="000000"/>
              </w:rPr>
              <w:t>protokol o průběhu a výsledku výběrového řízení (v souladu s požadavky zákona);</w:t>
            </w:r>
          </w:p>
          <w:p w:rsidR="00A925E1" w:rsidRPr="00AC0A0A" w:rsidRDefault="00A925E1" w:rsidP="00AC0A0A">
            <w:pPr>
              <w:pStyle w:val="Odstavecseseznamem"/>
              <w:rPr>
                <w:color w:val="000000"/>
              </w:rPr>
            </w:pPr>
          </w:p>
          <w:p w:rsidR="00A925E1" w:rsidRPr="00AC0A0A" w:rsidRDefault="00A925E1" w:rsidP="00AC0A0A">
            <w:pPr>
              <w:pStyle w:val="Odstavecseseznamem"/>
              <w:numPr>
                <w:ilvl w:val="0"/>
                <w:numId w:val="13"/>
              </w:numPr>
              <w:jc w:val="both"/>
              <w:rPr>
                <w:color w:val="000000"/>
              </w:rPr>
            </w:pPr>
            <w:r w:rsidRPr="00AC0A0A">
              <w:rPr>
                <w:color w:val="000000"/>
              </w:rPr>
              <w:t>písemné odůvodnění v případě, že došlo u zaměstnance, který již vykonává minimálně po dobu 6 měsíců činnost, n</w:t>
            </w:r>
            <w:r w:rsidR="00085939" w:rsidRPr="00085939">
              <w:rPr>
                <w:color w:val="000000"/>
              </w:rPr>
              <w:t>a kterou byl přijat v souladu s </w:t>
            </w:r>
            <w:r w:rsidRPr="00AC0A0A">
              <w:rPr>
                <w:color w:val="000000"/>
              </w:rPr>
              <w:t>platnou legislativou, ke změně zdroje</w:t>
            </w:r>
            <w:r w:rsidR="00303A3C">
              <w:rPr>
                <w:color w:val="000000"/>
              </w:rPr>
              <w:t xml:space="preserve"> </w:t>
            </w:r>
            <w:r w:rsidRPr="00AC0A0A">
              <w:rPr>
                <w:color w:val="000000"/>
              </w:rPr>
              <w:t xml:space="preserve">financování jeho osobních nákladů </w:t>
            </w: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lastRenderedPageBreak/>
              <w:t>a) Výběrová komise nebyla ustanovena v</w:t>
            </w:r>
            <w:r w:rsidR="00303A3C">
              <w:rPr>
                <w:color w:val="000000"/>
              </w:rPr>
              <w:t> </w:t>
            </w:r>
            <w:r w:rsidRPr="0098622E">
              <w:rPr>
                <w:color w:val="000000"/>
              </w:rPr>
              <w:t>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25</w:t>
            </w:r>
          </w:p>
        </w:tc>
      </w:tr>
      <w:tr w:rsidR="00DE62EB" w:rsidRPr="002C2E02" w:rsidTr="003B39F8">
        <w:trPr>
          <w:trHeight w:val="870"/>
        </w:trPr>
        <w:tc>
          <w:tcPr>
            <w:tcW w:w="960"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25</w:t>
            </w:r>
          </w:p>
        </w:tc>
      </w:tr>
      <w:tr w:rsidR="00DE62EB" w:rsidRPr="002C2E02" w:rsidTr="003B39F8">
        <w:trPr>
          <w:trHeight w:val="960"/>
        </w:trPr>
        <w:tc>
          <w:tcPr>
            <w:tcW w:w="960"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A925E1">
            <w:pPr>
              <w:jc w:val="both"/>
              <w:rPr>
                <w:color w:val="000000"/>
              </w:rPr>
            </w:pPr>
            <w:r w:rsidRPr="0098622E">
              <w:rPr>
                <w:color w:val="000000"/>
              </w:rPr>
              <w:t xml:space="preserve">c) Chybí </w:t>
            </w:r>
            <w:r w:rsidR="00DE3E01">
              <w:rPr>
                <w:color w:val="000000"/>
              </w:rPr>
              <w:t xml:space="preserve">písemné </w:t>
            </w:r>
            <w:r w:rsidRPr="0098622E">
              <w:rPr>
                <w:color w:val="000000"/>
              </w:rPr>
              <w:t>zdůvodnění</w:t>
            </w:r>
            <w:r w:rsidR="00DE3E01">
              <w:rPr>
                <w:color w:val="000000"/>
              </w:rPr>
              <w:t xml:space="preserve"> případů po</w:t>
            </w:r>
            <w:r w:rsidR="00A925E1">
              <w:rPr>
                <w:color w:val="000000"/>
              </w:rPr>
              <w:t>psaných v MP RLZ, např.</w:t>
            </w:r>
            <w:r w:rsidR="00310D2F">
              <w:rPr>
                <w:color w:val="000000"/>
              </w:rPr>
              <w:t xml:space="preserve"> </w:t>
            </w:r>
            <w:r w:rsidRPr="0098622E">
              <w:rPr>
                <w:color w:val="000000"/>
              </w:rPr>
              <w:t>přijetí zaměstnance na volnou pracovní pozici bez skutečného výběrového řízení</w:t>
            </w:r>
            <w:r w:rsidR="00A925E1">
              <w:rPr>
                <w:color w:val="000000"/>
              </w:rPr>
              <w:t xml:space="preserve"> (z důvodu organizační změny, návratu z mateřské rodičovské dovolené, prodloužení pracovní smlouvy, změny zdroje financování)</w:t>
            </w:r>
            <w:r w:rsidR="00A925E1">
              <w:rPr>
                <w:rStyle w:val="Znakapoznpodarou"/>
                <w:color w:val="000000"/>
              </w:rPr>
              <w:footnoteReference w:id="19"/>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25</w:t>
            </w:r>
          </w:p>
        </w:tc>
      </w:tr>
      <w:tr w:rsidR="00DE62EB" w:rsidRPr="002C2E02" w:rsidTr="003B39F8">
        <w:trPr>
          <w:trHeight w:val="5310"/>
        </w:trPr>
        <w:tc>
          <w:tcPr>
            <w:tcW w:w="960"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DE62EB" w:rsidRPr="0098622E" w:rsidRDefault="00DE62EB" w:rsidP="003B39F8">
            <w:pPr>
              <w:jc w:val="both"/>
            </w:pPr>
            <w:r w:rsidRPr="0098622E">
              <w:br/>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10</w:t>
            </w:r>
          </w:p>
        </w:tc>
      </w:tr>
      <w:tr w:rsidR="00DE62EB" w:rsidRPr="002C2E02" w:rsidTr="003B39F8">
        <w:trPr>
          <w:trHeight w:val="977"/>
        </w:trPr>
        <w:tc>
          <w:tcPr>
            <w:tcW w:w="960"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DE62EB" w:rsidRPr="0098622E" w:rsidRDefault="00DE62EB" w:rsidP="003B39F8">
            <w:pPr>
              <w:jc w:val="both"/>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pPr>
            <w:r w:rsidRPr="002C2E02">
              <w:rPr>
                <w:color w:val="000000"/>
              </w:rPr>
              <w:t>e)</w:t>
            </w:r>
            <w:r>
              <w:rPr>
                <w:color w:val="000000"/>
              </w:rPr>
              <w:t xml:space="preserve"> </w:t>
            </w:r>
            <w:r w:rsidRPr="0098622E">
              <w:rPr>
                <w:color w:val="000000"/>
              </w:rPr>
              <w:t>Zveřejněný inzerát</w:t>
            </w:r>
            <w:r w:rsidR="00E37084">
              <w:rPr>
                <w:color w:val="000000"/>
              </w:rPr>
              <w:t>/oznámení</w:t>
            </w:r>
            <w:r w:rsidRPr="0098622E">
              <w:rPr>
                <w:color w:val="000000"/>
              </w:rPr>
              <w:t xml:space="preserve"> neobsahoval všechny minimální povinné požadavky bez ohledu na počet chybějících položek.</w:t>
            </w:r>
          </w:p>
        </w:tc>
        <w:tc>
          <w:tcPr>
            <w:tcW w:w="873" w:type="dxa"/>
            <w:tcBorders>
              <w:top w:val="nil"/>
              <w:left w:val="nil"/>
              <w:bottom w:val="single" w:sz="4" w:space="0" w:color="auto"/>
              <w:right w:val="single" w:sz="4" w:space="0" w:color="auto"/>
            </w:tcBorders>
            <w:shd w:val="clear" w:color="auto" w:fill="auto"/>
            <w:vAlign w:val="center"/>
            <w:hideMark/>
          </w:tcPr>
          <w:p w:rsidR="00DE62EB" w:rsidRPr="0098622E" w:rsidRDefault="00DE62EB" w:rsidP="003B39F8">
            <w:pPr>
              <w:jc w:val="both"/>
              <w:rPr>
                <w:color w:val="000000"/>
              </w:rPr>
            </w:pPr>
            <w:r w:rsidRPr="0098622E">
              <w:rPr>
                <w:color w:val="000000"/>
              </w:rPr>
              <w:t>10</w:t>
            </w:r>
          </w:p>
        </w:tc>
      </w:tr>
    </w:tbl>
    <w:p w:rsidR="00DE62EB" w:rsidRPr="002B726A" w:rsidRDefault="00DE62EB" w:rsidP="00DE62EB">
      <w:pPr>
        <w:spacing w:before="240"/>
        <w:ind w:left="360"/>
        <w:jc w:val="both"/>
        <w:rPr>
          <w:snapToGrid w:val="0"/>
        </w:rPr>
      </w:pPr>
    </w:p>
    <w:p w:rsidR="00DE62EB" w:rsidRDefault="00DE62EB" w:rsidP="00DE62EB">
      <w:pPr>
        <w:widowControl w:val="0"/>
        <w:ind w:right="-2"/>
        <w:jc w:val="both"/>
        <w:rPr>
          <w:snapToGrid w:val="0"/>
        </w:rPr>
      </w:pPr>
    </w:p>
    <w:p w:rsidR="00DE62EB" w:rsidRPr="00D77671" w:rsidRDefault="00DE62EB" w:rsidP="00DE62EB">
      <w:pPr>
        <w:pStyle w:val="Zkladntext"/>
        <w:numPr>
          <w:ilvl w:val="0"/>
          <w:numId w:val="6"/>
        </w:numPr>
        <w:tabs>
          <w:tab w:val="num" w:pos="993"/>
        </w:tabs>
        <w:spacing w:after="120"/>
        <w:jc w:val="both"/>
        <w:rPr>
          <w:snapToGrid w:val="0"/>
        </w:rPr>
      </w:pPr>
      <w:r>
        <w:rPr>
          <w:szCs w:val="24"/>
        </w:rPr>
        <w:t xml:space="preserve">Při nedodržení </w:t>
      </w:r>
      <w:r w:rsidRPr="002C0678">
        <w:rPr>
          <w:szCs w:val="24"/>
        </w:rPr>
        <w:t>v</w:t>
      </w:r>
      <w:r w:rsidRPr="00D77671">
        <w:rPr>
          <w:snapToGrid w:val="0"/>
        </w:rPr>
        <w:t> části III</w:t>
      </w:r>
      <w:r>
        <w:rPr>
          <w:snapToGrid w:val="0"/>
        </w:rPr>
        <w:t xml:space="preserve"> uvedených podmínek</w:t>
      </w:r>
      <w:r w:rsidRPr="00D77671">
        <w:rPr>
          <w:snapToGrid w:val="0"/>
        </w:rPr>
        <w:t xml:space="preserve">, na které je poskytnutí požadované částky vázáno pod bodem </w:t>
      </w:r>
      <w:r w:rsidR="00376BAB">
        <w:rPr>
          <w:snapToGrid w:val="0"/>
        </w:rPr>
        <w:t>6</w:t>
      </w:r>
      <w:r w:rsidRPr="00D77671">
        <w:rPr>
          <w:snapToGrid w:val="0"/>
        </w:rPr>
        <w:t xml:space="preserve">. </w:t>
      </w:r>
      <w:r>
        <w:rPr>
          <w:snapToGrid w:val="0"/>
        </w:rPr>
        <w:t>v</w:t>
      </w:r>
      <w:r w:rsidRPr="00D77671">
        <w:rPr>
          <w:snapToGrid w:val="0"/>
        </w:rPr>
        <w:t>ěta</w:t>
      </w:r>
      <w:r>
        <w:rPr>
          <w:snapToGrid w:val="0"/>
        </w:rPr>
        <w:t xml:space="preserve"> druhá</w:t>
      </w:r>
      <w:r w:rsidRPr="00D77671">
        <w:rPr>
          <w:snapToGrid w:val="0"/>
        </w:rPr>
        <w:t xml:space="preserve">, bude v případech porušení uvedených </w:t>
      </w:r>
      <w:r w:rsidRPr="00D77671">
        <w:rPr>
          <w:snapToGrid w:val="0"/>
        </w:rPr>
        <w:lastRenderedPageBreak/>
        <w:t>v</w:t>
      </w:r>
      <w:r>
        <w:rPr>
          <w:snapToGrid w:val="0"/>
        </w:rPr>
        <w:t> Pravidlech pro žadatele a příjemce 2014-2020 (v souladu s </w:t>
      </w:r>
      <w:r w:rsidRPr="00D77671">
        <w:rPr>
          <w:snapToGrid w:val="0"/>
        </w:rPr>
        <w:t>MP</w:t>
      </w:r>
      <w:r>
        <w:rPr>
          <w:snapToGrid w:val="0"/>
        </w:rPr>
        <w:t xml:space="preserve"> pro publicitu a</w:t>
      </w:r>
      <w:r w:rsidRPr="00D77671">
        <w:rPr>
          <w:snapToGrid w:val="0"/>
        </w:rPr>
        <w:t xml:space="preserve"> komunikac</w:t>
      </w:r>
      <w:r>
        <w:rPr>
          <w:snapToGrid w:val="0"/>
        </w:rPr>
        <w:t>i)</w:t>
      </w:r>
      <w:r w:rsidRPr="00D77671">
        <w:rPr>
          <w:snapToGrid w:val="0"/>
        </w:rPr>
        <w:t xml:space="preserve"> udělena sankce dle typu porušení.</w:t>
      </w:r>
    </w:p>
    <w:p w:rsidR="00DE62EB" w:rsidRPr="002C0678" w:rsidRDefault="00DE62EB" w:rsidP="00DE62EB">
      <w:pPr>
        <w:ind w:left="57" w:firstLine="708"/>
        <w:jc w:val="both"/>
        <w:rPr>
          <w:snapToGrid w:val="0"/>
        </w:rPr>
      </w:pPr>
      <w:r w:rsidRPr="002C0678">
        <w:rPr>
          <w:snapToGrid w:val="0"/>
        </w:rPr>
        <w:t>U všech pochybení v oblasti publicity platí následující pravidla:</w:t>
      </w:r>
    </w:p>
    <w:p w:rsidR="00DE62EB" w:rsidRPr="0098622E" w:rsidRDefault="00DE62EB" w:rsidP="00DE62EB">
      <w:pPr>
        <w:widowControl w:val="0"/>
        <w:numPr>
          <w:ilvl w:val="1"/>
          <w:numId w:val="18"/>
        </w:numPr>
        <w:ind w:right="-2"/>
        <w:jc w:val="both"/>
        <w:rPr>
          <w:snapToGrid w:val="0"/>
        </w:rPr>
      </w:pPr>
      <w:r w:rsidRPr="0098622E">
        <w:rPr>
          <w:snapToGrid w:val="0"/>
        </w:rPr>
        <w:t>Jakékoli pochybení podléhající finanční korekci musí být viditelné /rozpoznatelné pouhým okem (případné nedostatky, které nejsou pouhým okem rozpoznatelné, nejsou sankcionovány);</w:t>
      </w:r>
    </w:p>
    <w:p w:rsidR="00DE62EB" w:rsidRPr="0098622E" w:rsidRDefault="00DE62EB" w:rsidP="00DE62EB">
      <w:pPr>
        <w:widowControl w:val="0"/>
        <w:numPr>
          <w:ilvl w:val="1"/>
          <w:numId w:val="18"/>
        </w:numPr>
        <w:ind w:right="-2"/>
        <w:jc w:val="both"/>
        <w:rPr>
          <w:snapToGrid w:val="0"/>
        </w:rPr>
      </w:pPr>
      <w:r w:rsidRPr="0098622E">
        <w:rPr>
          <w:snapToGrid w:val="0"/>
        </w:rPr>
        <w:t>K nápravě je vždy stanovena přiměřená lhůta;</w:t>
      </w:r>
    </w:p>
    <w:p w:rsidR="00DE62EB" w:rsidRPr="0098622E" w:rsidRDefault="00DE62EB" w:rsidP="00DE62EB">
      <w:pPr>
        <w:widowControl w:val="0"/>
        <w:numPr>
          <w:ilvl w:val="1"/>
          <w:numId w:val="18"/>
        </w:numPr>
        <w:ind w:right="-2"/>
        <w:jc w:val="both"/>
        <w:rPr>
          <w:snapToGrid w:val="0"/>
        </w:rPr>
      </w:pPr>
      <w:r w:rsidRPr="0098622E">
        <w:rPr>
          <w:snapToGrid w:val="0"/>
        </w:rPr>
        <w:t>Maximální výše všech sankcí týkající se pochybení v oblasti publicity na jednu operaci/projekt je 1 000 000 Kč;</w:t>
      </w:r>
    </w:p>
    <w:p w:rsidR="00DE62EB" w:rsidRPr="0098622E" w:rsidRDefault="00DE62EB" w:rsidP="00DE62EB">
      <w:pPr>
        <w:widowControl w:val="0"/>
        <w:numPr>
          <w:ilvl w:val="1"/>
          <w:numId w:val="18"/>
        </w:numPr>
        <w:ind w:right="-2"/>
        <w:jc w:val="both"/>
        <w:rPr>
          <w:snapToGrid w:val="0"/>
        </w:rPr>
      </w:pPr>
      <w:r w:rsidRPr="0098622E">
        <w:rPr>
          <w:snapToGrid w:val="0"/>
        </w:rPr>
        <w:t xml:space="preserve">Vyměření sankcí je vyměřeno procentem. Procento je vyměřeno </w:t>
      </w:r>
      <w:r w:rsidRPr="002C0678">
        <w:rPr>
          <w:snapToGrid w:val="0"/>
        </w:rPr>
        <w:t>z celkové částky podpory</w:t>
      </w:r>
      <w:r w:rsidRPr="0098622E">
        <w:rPr>
          <w:snapToGrid w:val="0"/>
        </w:rPr>
        <w:t xml:space="preserve">, </w:t>
      </w:r>
      <w:r w:rsidRPr="005D24C5">
        <w:rPr>
          <w:snapToGrid w:val="0"/>
          <w:szCs w:val="20"/>
        </w:rPr>
        <w:t>která je na realizaci projektu přidělena v rámci právního aktu o poskytnutí/převodu podpory, a sice v její aktuální výši v   době udělení sankce;</w:t>
      </w:r>
    </w:p>
    <w:p w:rsidR="00DE62EB" w:rsidRPr="002C0678" w:rsidRDefault="00DE62EB" w:rsidP="00DE62EB">
      <w:pPr>
        <w:widowControl w:val="0"/>
        <w:ind w:left="708" w:right="-2"/>
        <w:jc w:val="both"/>
        <w:rPr>
          <w:snapToGrid w:val="0"/>
        </w:rPr>
      </w:pPr>
      <w:r w:rsidRPr="0098622E">
        <w:rPr>
          <w:snapToGrid w:val="0"/>
        </w:rPr>
        <w:t>Veškerá dokumentace (výzvy k nápravě, sdělení pochybení apod.) bude komunikována prostřednictvím MS2014+</w:t>
      </w:r>
      <w:r>
        <w:rPr>
          <w:snapToGrid w:val="0"/>
        </w:rPr>
        <w:t xml:space="preserve">. </w:t>
      </w:r>
      <w:r w:rsidRPr="002C0678">
        <w:rPr>
          <w:snapToGrid w:val="0"/>
        </w:rPr>
        <w:t>Pravidla uplatňování sankcí u povinných nástrojů:</w:t>
      </w:r>
    </w:p>
    <w:p w:rsidR="00DE62EB" w:rsidRDefault="00095C5F" w:rsidP="00AC0A0A">
      <w:pPr>
        <w:pStyle w:val="Zkladntext"/>
        <w:tabs>
          <w:tab w:val="num" w:pos="993"/>
        </w:tabs>
        <w:spacing w:after="120"/>
        <w:jc w:val="both"/>
        <w:rPr>
          <w:snapToGrid w:val="0"/>
        </w:rPr>
      </w:pPr>
      <w:r>
        <w:rPr>
          <w:snapToGrid w:val="0"/>
        </w:rPr>
        <w:t xml:space="preserve">h1) </w:t>
      </w:r>
      <w:r w:rsidR="00DE62EB">
        <w:rPr>
          <w:snapToGrid w:val="0"/>
        </w:rPr>
        <w:t>Porušení pravidel v oblasti povinné publicity (povinné nástroje)</w:t>
      </w:r>
    </w:p>
    <w:p w:rsidR="00DE62EB" w:rsidRPr="005D24C5" w:rsidRDefault="00DE62EB" w:rsidP="00DE62EB">
      <w:pPr>
        <w:pStyle w:val="Odstavecseseznamem"/>
        <w:widowControl w:val="0"/>
        <w:ind w:left="1068" w:right="-2"/>
        <w:jc w:val="both"/>
        <w:rPr>
          <w:snapToGrid w:val="0"/>
        </w:rPr>
      </w:pPr>
      <w:r w:rsidRPr="005D24C5">
        <w:rPr>
          <w:snapToGrid w:val="0"/>
        </w:rPr>
        <w:t>Při zjištění, že příjemce porušil konkrétní pravidlo v oblasti publicity na některém z povinných nástrojů, bude příjemce poskytovat</w:t>
      </w:r>
      <w:r w:rsidR="002B7989">
        <w:rPr>
          <w:snapToGrid w:val="0"/>
        </w:rPr>
        <w:t>e</w:t>
      </w:r>
      <w:r w:rsidRPr="005D24C5">
        <w:rPr>
          <w:snapToGrid w:val="0"/>
        </w:rPr>
        <w:t>lem písemně vyzván k nápravě ve  lhůtě stanovené kontrolním subjektem (lhůta musí být přizpůsobena době nezbytně nutné na zajištění nápravy). Poté bude uplatněn následující postup:</w:t>
      </w:r>
    </w:p>
    <w:p w:rsidR="00DE62EB" w:rsidRPr="002C0678" w:rsidRDefault="00DE62EB" w:rsidP="00DE62EB">
      <w:pPr>
        <w:widowControl w:val="0"/>
        <w:numPr>
          <w:ilvl w:val="2"/>
          <w:numId w:val="18"/>
        </w:numPr>
        <w:ind w:right="-2"/>
        <w:jc w:val="both"/>
        <w:rPr>
          <w:snapToGrid w:val="0"/>
        </w:rPr>
      </w:pPr>
      <w:r w:rsidRPr="00E65849">
        <w:rPr>
          <w:snapToGrid w:val="0"/>
        </w:rPr>
        <w:t>Příjemce nápravu ve stanovené lhůtě učiní – není mu uložena žádná sankce;</w:t>
      </w:r>
    </w:p>
    <w:p w:rsidR="00DE62EB" w:rsidRPr="002C0678" w:rsidRDefault="00DE62EB" w:rsidP="00DE62EB">
      <w:pPr>
        <w:widowControl w:val="0"/>
        <w:numPr>
          <w:ilvl w:val="2"/>
          <w:numId w:val="18"/>
        </w:numPr>
        <w:ind w:right="-2"/>
        <w:jc w:val="both"/>
        <w:rPr>
          <w:snapToGrid w:val="0"/>
        </w:rPr>
      </w:pPr>
      <w:r w:rsidRPr="00E65849">
        <w:rPr>
          <w:snapToGrid w:val="0"/>
        </w:rPr>
        <w:t>Příjemce nápravu ve stanovené lhůtě neučiní nebo ji učiní chybně – bude přistoupeno k sankci za pochybení dle tabulky níže a poté bude znovu vyzván k nápravě. K této nápravě kontrolní subjekt stanoví přiměřenou lhůtu;</w:t>
      </w:r>
    </w:p>
    <w:p w:rsidR="00DE62EB" w:rsidRPr="002C0678" w:rsidRDefault="00DE62EB" w:rsidP="00DE62EB">
      <w:pPr>
        <w:widowControl w:val="0"/>
        <w:numPr>
          <w:ilvl w:val="2"/>
          <w:numId w:val="18"/>
        </w:numPr>
        <w:ind w:right="-2"/>
        <w:jc w:val="both"/>
        <w:rPr>
          <w:snapToGrid w:val="0"/>
        </w:rPr>
      </w:pPr>
      <w:r w:rsidRPr="00E65849">
        <w:rPr>
          <w:snapToGrid w:val="0"/>
        </w:rPr>
        <w:t xml:space="preserve">Pokud příjemce ani poté nápravu neučiní, bude mu uložena sankce za  nerespektování výzvy poskytovatele ve stejné výši, v jaké byla uložena při zjištění pochybení dle tabulky níže. </w:t>
      </w:r>
      <w:r>
        <w:rPr>
          <w:snapToGrid w:val="0"/>
        </w:rPr>
        <w:t>P</w:t>
      </w:r>
      <w:r w:rsidRPr="00E65849">
        <w:rPr>
          <w:snapToGrid w:val="0"/>
        </w:rPr>
        <w:t>odmínkou poskytnutí podpory je zajištění nápravy v případech, kdy je k tomu příjemce vyzván a nezajištění nápravy ve stanoveném termínu a stanoveným způsobem představuje porušení podmínek poskytnutí podpory</w:t>
      </w:r>
      <w:r>
        <w:rPr>
          <w:snapToGrid w:val="0"/>
        </w:rPr>
        <w:t>. S</w:t>
      </w:r>
      <w:r w:rsidRPr="00E65849">
        <w:rPr>
          <w:snapToGrid w:val="0"/>
        </w:rPr>
        <w:t xml:space="preserve">ankcionováno je každé nezajištění, tj. každá nesplněná výzva k nápravě představuje jedno porušení podmínek poskytnutí dotace. Při  tomto nastavení může docházet k udělení sankce za nerespektování výzvy poskytovatele několikrát, není-li náprava zjednána ve lhůtě stanovené ve výzvě, až do zajištění nápravy. </w:t>
      </w:r>
    </w:p>
    <w:p w:rsidR="00DE62EB" w:rsidRPr="002C0678" w:rsidRDefault="00DE62EB" w:rsidP="00DE62EB">
      <w:pPr>
        <w:widowControl w:val="0"/>
        <w:ind w:left="2160" w:right="-2"/>
        <w:jc w:val="both"/>
        <w:rPr>
          <w:b/>
          <w:snapToGrid w:val="0"/>
        </w:rPr>
      </w:pPr>
      <w:r w:rsidRPr="002C0678">
        <w:rPr>
          <w:b/>
          <w:snapToGrid w:val="0"/>
        </w:rPr>
        <w:t>V případě povinných nástrojů musí být pochybení odstraněno vždy.</w:t>
      </w:r>
    </w:p>
    <w:p w:rsidR="00DE62EB" w:rsidRPr="0098622E" w:rsidRDefault="00DE62EB" w:rsidP="00DE62EB">
      <w:pPr>
        <w:spacing w:after="160" w:line="259" w:lineRule="auto"/>
        <w:jc w:val="both"/>
        <w:rPr>
          <w:b/>
        </w:rPr>
      </w:pPr>
      <w:r w:rsidRPr="002C0678">
        <w:rPr>
          <w:snapToGrid w:val="0"/>
        </w:rPr>
        <w:br w:type="page"/>
      </w:r>
      <w:r w:rsidRPr="0098622E">
        <w:rPr>
          <w:b/>
        </w:rPr>
        <w:lastRenderedPageBreak/>
        <w:t xml:space="preserve">Tabulka č. </w:t>
      </w:r>
      <w:r>
        <w:rPr>
          <w:b/>
        </w:rPr>
        <w:t>6: Povinné nástroje</w:t>
      </w:r>
    </w:p>
    <w:tbl>
      <w:tblPr>
        <w:tblW w:w="8646" w:type="dxa"/>
        <w:tblCellMar>
          <w:left w:w="70" w:type="dxa"/>
          <w:right w:w="70" w:type="dxa"/>
        </w:tblCellMar>
        <w:tblLook w:val="04A0" w:firstRow="1" w:lastRow="0" w:firstColumn="1" w:lastColumn="0" w:noHBand="0" w:noVBand="1"/>
      </w:tblPr>
      <w:tblGrid>
        <w:gridCol w:w="2267"/>
        <w:gridCol w:w="3664"/>
        <w:gridCol w:w="2715"/>
      </w:tblGrid>
      <w:tr w:rsidR="00DE62EB" w:rsidRPr="00A40A0E" w:rsidTr="003B39F8">
        <w:trPr>
          <w:trHeight w:val="534"/>
        </w:trPr>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2EB" w:rsidRPr="001D7C0F" w:rsidRDefault="00DE62EB" w:rsidP="003B39F8">
            <w:pPr>
              <w:keepNext/>
              <w:keepLines/>
              <w:jc w:val="both"/>
              <w:rPr>
                <w:b/>
                <w:bCs/>
                <w:color w:val="000000"/>
              </w:rPr>
            </w:pPr>
            <w:r w:rsidRPr="001D7C0F">
              <w:rPr>
                <w:b/>
                <w:bCs/>
                <w:color w:val="000000"/>
              </w:rPr>
              <w:t>Nástroj publicity</w:t>
            </w:r>
          </w:p>
        </w:tc>
        <w:tc>
          <w:tcPr>
            <w:tcW w:w="3664" w:type="dxa"/>
            <w:tcBorders>
              <w:top w:val="single" w:sz="4" w:space="0" w:color="auto"/>
              <w:left w:val="nil"/>
              <w:bottom w:val="single" w:sz="4" w:space="0" w:color="auto"/>
              <w:right w:val="single" w:sz="4" w:space="0" w:color="auto"/>
            </w:tcBorders>
            <w:shd w:val="clear" w:color="auto" w:fill="auto"/>
            <w:vAlign w:val="bottom"/>
            <w:hideMark/>
          </w:tcPr>
          <w:p w:rsidR="00DE62EB" w:rsidRPr="001D7C0F" w:rsidRDefault="00DE62EB" w:rsidP="003B39F8">
            <w:pPr>
              <w:keepNext/>
              <w:keepLines/>
              <w:jc w:val="both"/>
              <w:rPr>
                <w:b/>
                <w:bCs/>
                <w:color w:val="000000"/>
              </w:rPr>
            </w:pPr>
            <w:r w:rsidRPr="001D7C0F">
              <w:rPr>
                <w:b/>
                <w:bCs/>
                <w:color w:val="000000"/>
              </w:rPr>
              <w:t>Pochybení</w:t>
            </w:r>
          </w:p>
        </w:tc>
        <w:tc>
          <w:tcPr>
            <w:tcW w:w="2715" w:type="dxa"/>
            <w:tcBorders>
              <w:top w:val="single" w:sz="4" w:space="0" w:color="auto"/>
              <w:left w:val="nil"/>
              <w:bottom w:val="single" w:sz="4" w:space="0" w:color="auto"/>
              <w:right w:val="single" w:sz="4" w:space="0" w:color="auto"/>
            </w:tcBorders>
            <w:shd w:val="clear" w:color="auto" w:fill="auto"/>
            <w:vAlign w:val="bottom"/>
            <w:hideMark/>
          </w:tcPr>
          <w:p w:rsidR="00DE62EB" w:rsidRPr="001D7C0F" w:rsidRDefault="00DE62EB" w:rsidP="003B39F8">
            <w:pPr>
              <w:keepNext/>
              <w:keepLines/>
              <w:jc w:val="both"/>
              <w:rPr>
                <w:b/>
                <w:bCs/>
                <w:color w:val="000000"/>
              </w:rPr>
            </w:pPr>
            <w:r w:rsidRPr="001D7C0F">
              <w:rPr>
                <w:b/>
                <w:bCs/>
                <w:color w:val="000000"/>
              </w:rPr>
              <w:t>Výše sankce v % z celkové částky</w:t>
            </w:r>
          </w:p>
        </w:tc>
      </w:tr>
      <w:tr w:rsidR="00DE62EB" w:rsidRPr="00A40A0E" w:rsidTr="003B39F8">
        <w:trPr>
          <w:trHeight w:val="411"/>
        </w:trPr>
        <w:tc>
          <w:tcPr>
            <w:tcW w:w="2267" w:type="dxa"/>
            <w:vMerge w:val="restart"/>
            <w:tcBorders>
              <w:top w:val="nil"/>
              <w:left w:val="single" w:sz="4" w:space="0" w:color="auto"/>
              <w:right w:val="single" w:sz="4" w:space="0" w:color="auto"/>
            </w:tcBorders>
            <w:shd w:val="clear" w:color="auto" w:fill="auto"/>
            <w:vAlign w:val="center"/>
            <w:hideMark/>
          </w:tcPr>
          <w:p w:rsidR="00DE62EB" w:rsidRPr="0013616A" w:rsidRDefault="00DE62EB" w:rsidP="003B39F8">
            <w:pPr>
              <w:keepNext/>
              <w:keepLines/>
              <w:jc w:val="both"/>
              <w:rPr>
                <w:b/>
                <w:bCs/>
                <w:color w:val="000000"/>
              </w:rPr>
            </w:pPr>
            <w:r w:rsidRPr="001D7C0F">
              <w:rPr>
                <w:b/>
                <w:bCs/>
                <w:color w:val="000000"/>
              </w:rPr>
              <w:t xml:space="preserve">Povinné nástroje </w:t>
            </w:r>
          </w:p>
          <w:p w:rsidR="00DE62EB" w:rsidRDefault="00DE62EB" w:rsidP="003B39F8">
            <w:pPr>
              <w:pStyle w:val="Odstavecseseznamem"/>
              <w:ind w:left="75"/>
              <w:jc w:val="both"/>
              <w:rPr>
                <w:rFonts w:cs="Arial"/>
              </w:rPr>
            </w:pPr>
          </w:p>
          <w:p w:rsidR="00DE62EB" w:rsidRPr="001D7C0F" w:rsidRDefault="00DE62EB" w:rsidP="003B39F8">
            <w:pPr>
              <w:pStyle w:val="Odstavecseseznamem"/>
              <w:ind w:left="75"/>
              <w:jc w:val="both"/>
              <w:rPr>
                <w:b/>
                <w:bCs/>
                <w:color w:val="000000"/>
              </w:rPr>
            </w:pPr>
          </w:p>
        </w:tc>
        <w:tc>
          <w:tcPr>
            <w:tcW w:w="3664" w:type="dxa"/>
            <w:tcBorders>
              <w:top w:val="nil"/>
              <w:left w:val="nil"/>
              <w:bottom w:val="single" w:sz="4" w:space="0" w:color="auto"/>
              <w:right w:val="single" w:sz="4" w:space="0" w:color="auto"/>
            </w:tcBorders>
            <w:shd w:val="clear" w:color="auto" w:fill="auto"/>
            <w:vAlign w:val="center"/>
            <w:hideMark/>
          </w:tcPr>
          <w:p w:rsidR="00DE62EB" w:rsidRPr="001D7C0F" w:rsidRDefault="00DE62EB" w:rsidP="003B39F8">
            <w:pPr>
              <w:keepNext/>
              <w:keepLines/>
              <w:jc w:val="both"/>
              <w:rPr>
                <w:color w:val="000000"/>
              </w:rPr>
            </w:pPr>
          </w:p>
          <w:p w:rsidR="00DE62EB" w:rsidRPr="001D7C0F" w:rsidRDefault="00DE62EB" w:rsidP="003B39F8">
            <w:pPr>
              <w:keepNext/>
              <w:keepLines/>
              <w:jc w:val="both"/>
              <w:rPr>
                <w:color w:val="000000"/>
              </w:rPr>
            </w:pPr>
            <w:r w:rsidRPr="001D7C0F">
              <w:rPr>
                <w:color w:val="000000"/>
              </w:rPr>
              <w:t>Nástroj chybí zcela</w:t>
            </w:r>
          </w:p>
        </w:tc>
        <w:tc>
          <w:tcPr>
            <w:tcW w:w="2715" w:type="dxa"/>
            <w:tcBorders>
              <w:top w:val="nil"/>
              <w:left w:val="nil"/>
              <w:bottom w:val="single" w:sz="4" w:space="0" w:color="auto"/>
              <w:right w:val="single" w:sz="4" w:space="0" w:color="auto"/>
            </w:tcBorders>
            <w:shd w:val="clear" w:color="auto" w:fill="auto"/>
            <w:vAlign w:val="center"/>
            <w:hideMark/>
          </w:tcPr>
          <w:p w:rsidR="00DE62EB" w:rsidRPr="001D7C0F" w:rsidRDefault="00DE62EB" w:rsidP="003B39F8">
            <w:pPr>
              <w:keepNext/>
              <w:keepLines/>
              <w:jc w:val="both"/>
              <w:rPr>
                <w:color w:val="000000"/>
              </w:rPr>
            </w:pPr>
            <w:r w:rsidRPr="001D7C0F">
              <w:rPr>
                <w:color w:val="000000"/>
              </w:rPr>
              <w:t>1,</w:t>
            </w:r>
            <w:r w:rsidRPr="00DF48C5">
              <w:rPr>
                <w:color w:val="000000"/>
              </w:rPr>
              <w:t>2%</w:t>
            </w:r>
          </w:p>
        </w:tc>
      </w:tr>
      <w:tr w:rsidR="00DE62EB" w:rsidRPr="00A40A0E" w:rsidTr="003B39F8">
        <w:trPr>
          <w:trHeight w:val="1454"/>
        </w:trPr>
        <w:tc>
          <w:tcPr>
            <w:tcW w:w="2267" w:type="dxa"/>
            <w:vMerge/>
            <w:tcBorders>
              <w:left w:val="single" w:sz="4" w:space="0" w:color="auto"/>
              <w:right w:val="single" w:sz="4" w:space="0" w:color="auto"/>
            </w:tcBorders>
            <w:vAlign w:val="center"/>
            <w:hideMark/>
          </w:tcPr>
          <w:p w:rsidR="00DE62EB" w:rsidRPr="001D7C0F" w:rsidRDefault="00DE62EB" w:rsidP="003B39F8">
            <w:pPr>
              <w:pStyle w:val="Odstavecseseznamem"/>
              <w:ind w:left="75"/>
              <w:jc w:val="both"/>
              <w:rPr>
                <w:b/>
                <w:bCs/>
                <w:color w:val="000000"/>
              </w:rPr>
            </w:pPr>
          </w:p>
        </w:tc>
        <w:tc>
          <w:tcPr>
            <w:tcW w:w="3664" w:type="dxa"/>
            <w:tcBorders>
              <w:top w:val="nil"/>
              <w:left w:val="nil"/>
              <w:bottom w:val="single" w:sz="4" w:space="0" w:color="auto"/>
              <w:right w:val="single" w:sz="4" w:space="0" w:color="auto"/>
            </w:tcBorders>
            <w:shd w:val="clear" w:color="auto" w:fill="auto"/>
            <w:vAlign w:val="center"/>
            <w:hideMark/>
          </w:tcPr>
          <w:p w:rsidR="00DE62EB" w:rsidRPr="001D7C0F" w:rsidRDefault="00DE62EB" w:rsidP="003B39F8">
            <w:pPr>
              <w:keepNext/>
              <w:keepLines/>
              <w:jc w:val="both"/>
              <w:rPr>
                <w:color w:val="000000"/>
              </w:rPr>
            </w:pPr>
            <w:r w:rsidRPr="001D7C0F">
              <w:rPr>
                <w:color w:val="000000"/>
              </w:rPr>
              <w:t>Na nástroji chybí, nebo je chybně:</w:t>
            </w:r>
          </w:p>
          <w:p w:rsidR="00DE62EB" w:rsidRDefault="00DE62EB" w:rsidP="00DE62EB">
            <w:pPr>
              <w:pStyle w:val="Odstavecseseznamem"/>
              <w:keepNext/>
              <w:keepLines/>
              <w:numPr>
                <w:ilvl w:val="1"/>
                <w:numId w:val="15"/>
              </w:numPr>
              <w:spacing w:after="0"/>
              <w:jc w:val="both"/>
              <w:rPr>
                <w:color w:val="000000"/>
              </w:rPr>
            </w:pPr>
            <w:r w:rsidRPr="00DF48C5">
              <w:rPr>
                <w:color w:val="000000"/>
              </w:rPr>
              <w:t>l</w:t>
            </w:r>
            <w:r w:rsidRPr="001D7C0F">
              <w:rPr>
                <w:color w:val="000000"/>
              </w:rPr>
              <w:t>ogo EU (znak EU včetně všech povinných odk</w:t>
            </w:r>
            <w:r w:rsidRPr="00DF48C5">
              <w:rPr>
                <w:color w:val="000000"/>
              </w:rPr>
              <w:t>az</w:t>
            </w:r>
            <w:r w:rsidRPr="001D7C0F">
              <w:rPr>
                <w:color w:val="000000"/>
              </w:rPr>
              <w:t>ů/textů)</w:t>
            </w:r>
          </w:p>
          <w:p w:rsidR="00DE62EB" w:rsidRDefault="00DE62EB" w:rsidP="00DE62EB">
            <w:pPr>
              <w:pStyle w:val="Odstavecseseznamem"/>
              <w:keepNext/>
              <w:keepLines/>
              <w:numPr>
                <w:ilvl w:val="1"/>
                <w:numId w:val="15"/>
              </w:numPr>
              <w:spacing w:after="0"/>
              <w:jc w:val="both"/>
              <w:rPr>
                <w:color w:val="000000"/>
              </w:rPr>
            </w:pPr>
            <w:r>
              <w:rPr>
                <w:color w:val="000000"/>
              </w:rPr>
              <w:t xml:space="preserve">název, hlavní cíl operace a informace o finanční podpoře od EU </w:t>
            </w:r>
          </w:p>
          <w:p w:rsidR="00DE62EB" w:rsidRPr="001D7C0F" w:rsidRDefault="00DE62EB" w:rsidP="00DE62EB">
            <w:pPr>
              <w:pStyle w:val="Odstavecseseznamem"/>
              <w:keepNext/>
              <w:keepLines/>
              <w:numPr>
                <w:ilvl w:val="1"/>
                <w:numId w:val="15"/>
              </w:numPr>
              <w:spacing w:after="0"/>
              <w:jc w:val="both"/>
              <w:rPr>
                <w:color w:val="000000"/>
              </w:rPr>
            </w:pPr>
            <w:r>
              <w:rPr>
                <w:color w:val="000000"/>
              </w:rPr>
              <w:t>předepsaný rozměr nástroje</w:t>
            </w:r>
          </w:p>
        </w:tc>
        <w:tc>
          <w:tcPr>
            <w:tcW w:w="2715" w:type="dxa"/>
            <w:tcBorders>
              <w:top w:val="nil"/>
              <w:left w:val="nil"/>
              <w:bottom w:val="single" w:sz="4" w:space="0" w:color="auto"/>
              <w:right w:val="single" w:sz="4" w:space="0" w:color="auto"/>
            </w:tcBorders>
            <w:shd w:val="clear" w:color="auto" w:fill="auto"/>
            <w:vAlign w:val="center"/>
            <w:hideMark/>
          </w:tcPr>
          <w:p w:rsidR="00DE62EB" w:rsidRPr="001D7C0F" w:rsidRDefault="00DE62EB" w:rsidP="003B39F8">
            <w:pPr>
              <w:keepNext/>
              <w:keepLines/>
              <w:jc w:val="both"/>
              <w:rPr>
                <w:color w:val="000000"/>
              </w:rPr>
            </w:pPr>
            <w:r>
              <w:rPr>
                <w:color w:val="000000"/>
              </w:rPr>
              <w:t>0,8%</w:t>
            </w:r>
          </w:p>
        </w:tc>
      </w:tr>
      <w:tr w:rsidR="00DE62EB" w:rsidTr="003B3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2267" w:type="dxa"/>
            <w:vMerge/>
            <w:tcBorders>
              <w:left w:val="single" w:sz="4" w:space="0" w:color="auto"/>
              <w:right w:val="single" w:sz="4" w:space="0" w:color="auto"/>
            </w:tcBorders>
          </w:tcPr>
          <w:p w:rsidR="00DE62EB" w:rsidRDefault="00DE62EB" w:rsidP="003B39F8">
            <w:pPr>
              <w:pStyle w:val="Odstavecseseznamem"/>
              <w:ind w:left="75"/>
              <w:jc w:val="both"/>
              <w:rPr>
                <w:rFonts w:cs="Arial"/>
              </w:rPr>
            </w:pPr>
          </w:p>
        </w:tc>
        <w:tc>
          <w:tcPr>
            <w:tcW w:w="3664" w:type="dxa"/>
            <w:tcBorders>
              <w:left w:val="single" w:sz="4" w:space="0" w:color="auto"/>
            </w:tcBorders>
            <w:shd w:val="clear" w:color="auto" w:fill="auto"/>
          </w:tcPr>
          <w:p w:rsidR="00DE62EB" w:rsidRDefault="00DE62EB" w:rsidP="003B39F8">
            <w:pPr>
              <w:keepNext/>
              <w:keepLines/>
              <w:jc w:val="both"/>
              <w:rPr>
                <w:color w:val="000000"/>
              </w:rPr>
            </w:pPr>
          </w:p>
          <w:p w:rsidR="00DE62EB" w:rsidRPr="001D7C0F" w:rsidRDefault="00DE62EB" w:rsidP="003B39F8">
            <w:pPr>
              <w:keepNext/>
              <w:keepLines/>
              <w:jc w:val="both"/>
              <w:rPr>
                <w:color w:val="000000"/>
              </w:rPr>
            </w:pPr>
            <w:r w:rsidRPr="001D7C0F">
              <w:rPr>
                <w:color w:val="000000"/>
              </w:rPr>
              <w:t>Je uvedeno nadbytečné logo</w:t>
            </w:r>
          </w:p>
        </w:tc>
        <w:tc>
          <w:tcPr>
            <w:tcW w:w="2715" w:type="dxa"/>
            <w:shd w:val="clear" w:color="auto" w:fill="auto"/>
            <w:vAlign w:val="bottom"/>
          </w:tcPr>
          <w:p w:rsidR="00DE62EB" w:rsidRDefault="00DE62EB" w:rsidP="003B39F8">
            <w:pPr>
              <w:keepNext/>
              <w:keepLines/>
              <w:jc w:val="both"/>
              <w:rPr>
                <w:color w:val="000000"/>
              </w:rPr>
            </w:pPr>
          </w:p>
          <w:p w:rsidR="00DE62EB" w:rsidRPr="001D7C0F" w:rsidRDefault="00DE62EB" w:rsidP="003B39F8">
            <w:pPr>
              <w:keepNext/>
              <w:keepLines/>
              <w:jc w:val="both"/>
              <w:rPr>
                <w:color w:val="000000"/>
              </w:rPr>
            </w:pPr>
            <w:r w:rsidRPr="001D7C0F">
              <w:rPr>
                <w:color w:val="000000"/>
              </w:rPr>
              <w:t>0,1%</w:t>
            </w:r>
          </w:p>
          <w:p w:rsidR="00DE62EB" w:rsidRPr="001D7C0F" w:rsidRDefault="00DE62EB" w:rsidP="003B39F8">
            <w:pPr>
              <w:pStyle w:val="Odstavecseseznamem"/>
              <w:keepNext/>
              <w:keepLines/>
              <w:ind w:left="75"/>
              <w:jc w:val="both"/>
              <w:rPr>
                <w:color w:val="000000"/>
              </w:rPr>
            </w:pPr>
          </w:p>
        </w:tc>
      </w:tr>
    </w:tbl>
    <w:p w:rsidR="00DE62EB" w:rsidRDefault="00DE62EB" w:rsidP="00DE62EB">
      <w:pPr>
        <w:widowControl w:val="0"/>
        <w:ind w:left="765" w:right="-2"/>
        <w:jc w:val="both"/>
        <w:rPr>
          <w:snapToGrid w:val="0"/>
        </w:rPr>
      </w:pPr>
    </w:p>
    <w:p w:rsidR="00DE62EB" w:rsidRPr="00095C5F" w:rsidRDefault="00095C5F" w:rsidP="00AC0A0A">
      <w:pPr>
        <w:widowControl w:val="0"/>
        <w:ind w:left="708" w:right="-2"/>
        <w:jc w:val="both"/>
        <w:rPr>
          <w:snapToGrid w:val="0"/>
        </w:rPr>
      </w:pPr>
      <w:r>
        <w:rPr>
          <w:snapToGrid w:val="0"/>
        </w:rPr>
        <w:t xml:space="preserve">h2) </w:t>
      </w:r>
      <w:r w:rsidR="00DE62EB" w:rsidRPr="00095C5F">
        <w:rPr>
          <w:snapToGrid w:val="0"/>
        </w:rPr>
        <w:t>Porušení pravidel v oblasti nepovinné publicity (nepovinné nástroje)</w:t>
      </w:r>
    </w:p>
    <w:p w:rsidR="00DE62EB" w:rsidRPr="0059006F" w:rsidRDefault="00DE62EB" w:rsidP="00DE62EB">
      <w:pPr>
        <w:widowControl w:val="0"/>
        <w:ind w:right="-2" w:firstLine="708"/>
        <w:jc w:val="both"/>
        <w:rPr>
          <w:snapToGrid w:val="0"/>
        </w:rPr>
      </w:pPr>
      <w:r w:rsidRPr="00D77671">
        <w:rPr>
          <w:snapToGrid w:val="0"/>
        </w:rPr>
        <w:t>Pravidla uplatňování sankcí u nepovinných (volitelných) nástrojů publicity:</w:t>
      </w:r>
    </w:p>
    <w:p w:rsidR="00DE62EB" w:rsidRPr="00D77671" w:rsidRDefault="00DE62EB" w:rsidP="00DE62EB">
      <w:pPr>
        <w:jc w:val="both"/>
        <w:rPr>
          <w:snapToGrid w:val="0"/>
        </w:rPr>
      </w:pPr>
      <w:r w:rsidRPr="00D77671">
        <w:rPr>
          <w:snapToGrid w:val="0"/>
        </w:rPr>
        <w:t>Při zjištění, že příjemce porušil konkrétní pravidlo v oblasti publicity na některém z nepovinných nástrojů, bude příjemce písemně vyzván k nápravě ve lhůtě stanovené kontrolním subjektem (lhůta musí být přizpůsobena době nezbytně nutné na zajištění nápravy). Poté bude uplatněn následující postup:</w:t>
      </w:r>
    </w:p>
    <w:p w:rsidR="00DE62EB" w:rsidRPr="00D77671" w:rsidRDefault="00DE62EB" w:rsidP="00DE62EB">
      <w:pPr>
        <w:jc w:val="both"/>
        <w:rPr>
          <w:snapToGrid w:val="0"/>
        </w:rPr>
      </w:pPr>
    </w:p>
    <w:p w:rsidR="00DE62EB" w:rsidRPr="00D77671" w:rsidRDefault="00DE62EB" w:rsidP="00DE62EB">
      <w:pPr>
        <w:pStyle w:val="OdrkyvMPP"/>
        <w:numPr>
          <w:ilvl w:val="0"/>
          <w:numId w:val="19"/>
        </w:numPr>
        <w:rPr>
          <w:rFonts w:ascii="Times New Roman" w:eastAsia="Times New Roman" w:hAnsi="Times New Roman" w:cs="Times New Roman"/>
          <w:snapToGrid w:val="0"/>
          <w:szCs w:val="20"/>
          <w:lang w:eastAsia="cs-CZ"/>
        </w:rPr>
      </w:pPr>
      <w:r w:rsidRPr="00D77671">
        <w:rPr>
          <w:rFonts w:ascii="Times New Roman" w:eastAsia="Times New Roman" w:hAnsi="Times New Roman" w:cs="Times New Roman"/>
          <w:snapToGrid w:val="0"/>
          <w:szCs w:val="20"/>
          <w:lang w:eastAsia="cs-CZ"/>
        </w:rPr>
        <w:t>Pokud náprava možná je a příjemce nápravu ve stanovené lhůtě učiní, není mu uložena žádná sankce;</w:t>
      </w:r>
    </w:p>
    <w:p w:rsidR="00DE62EB" w:rsidRPr="00D77671" w:rsidRDefault="00DE62EB" w:rsidP="00DE62EB">
      <w:pPr>
        <w:pStyle w:val="OdrkyvMPP"/>
        <w:numPr>
          <w:ilvl w:val="0"/>
          <w:numId w:val="19"/>
        </w:numPr>
        <w:rPr>
          <w:rFonts w:ascii="Times New Roman" w:eastAsia="Times New Roman" w:hAnsi="Times New Roman" w:cs="Times New Roman"/>
          <w:snapToGrid w:val="0"/>
          <w:szCs w:val="20"/>
          <w:lang w:eastAsia="cs-CZ"/>
        </w:rPr>
      </w:pPr>
      <w:r w:rsidRPr="00D77671">
        <w:rPr>
          <w:rFonts w:ascii="Times New Roman" w:eastAsia="Times New Roman" w:hAnsi="Times New Roman" w:cs="Times New Roman"/>
          <w:snapToGrid w:val="0"/>
          <w:szCs w:val="20"/>
          <w:lang w:eastAsia="cs-CZ"/>
        </w:rPr>
        <w:t>Pokud náprava možná není (např. není možná z technických důvodů, neměla by smysl, případně by byla ekonomicky nevýhodná</w:t>
      </w:r>
      <w:r w:rsidRPr="00D85036">
        <w:rPr>
          <w:rFonts w:ascii="Times New Roman" w:eastAsia="Times New Roman" w:hAnsi="Times New Roman"/>
          <w:snapToGrid w:val="0"/>
          <w:szCs w:val="20"/>
          <w:vertAlign w:val="superscript"/>
          <w:lang w:eastAsia="cs-CZ"/>
        </w:rPr>
        <w:footnoteReference w:id="20"/>
      </w:r>
      <w:r w:rsidRPr="00D77671">
        <w:rPr>
          <w:rFonts w:ascii="Times New Roman" w:eastAsia="Times New Roman" w:hAnsi="Times New Roman" w:cs="Times New Roman"/>
          <w:snapToGrid w:val="0"/>
          <w:szCs w:val="20"/>
          <w:lang w:eastAsia="cs-CZ"/>
        </w:rPr>
        <w:t>), bude příjemci udělena výtka č. 1 v kategorii A nebo B dle tabulky níže a sankce se neuděluje. Pokud se stejný nedostatek na nějakém jiném nástroji/nosiči opakuje při další kontrole, je příjemci udělena výtka č. 2 v kategorii A nebo B dle tabulky níže a sankce se neuděluje. Sankce je udělena v případě, že příjemce při třetí kontrole dostane výtku č. 3, za třetí pochybení ve stejné kategorii (A nebo B) n</w:t>
      </w:r>
      <w:r>
        <w:rPr>
          <w:rFonts w:ascii="Times New Roman" w:eastAsia="Times New Roman" w:hAnsi="Times New Roman" w:cs="Times New Roman"/>
          <w:snapToGrid w:val="0"/>
          <w:szCs w:val="20"/>
          <w:lang w:eastAsia="cs-CZ"/>
        </w:rPr>
        <w:t>a jakémkoli nepovinném nástroji</w:t>
      </w:r>
      <w:r w:rsidRPr="00D94741">
        <w:rPr>
          <w:rFonts w:ascii="Times New Roman" w:eastAsia="Times New Roman" w:hAnsi="Times New Roman"/>
          <w:snapToGrid w:val="0"/>
          <w:szCs w:val="20"/>
          <w:vertAlign w:val="superscript"/>
          <w:lang w:eastAsia="cs-CZ"/>
        </w:rPr>
        <w:footnoteReference w:id="21"/>
      </w:r>
      <w:r>
        <w:rPr>
          <w:rFonts w:ascii="Times New Roman" w:eastAsia="Times New Roman" w:hAnsi="Times New Roman" w:cs="Times New Roman"/>
          <w:snapToGrid w:val="0"/>
          <w:szCs w:val="20"/>
          <w:lang w:eastAsia="cs-CZ"/>
        </w:rPr>
        <w:t>.</w:t>
      </w:r>
      <w:r w:rsidRPr="00D77671">
        <w:rPr>
          <w:rFonts w:ascii="Times New Roman" w:eastAsia="Times New Roman" w:hAnsi="Times New Roman" w:cs="Times New Roman"/>
          <w:snapToGrid w:val="0"/>
          <w:szCs w:val="20"/>
          <w:lang w:eastAsia="cs-CZ"/>
        </w:rPr>
        <w:t xml:space="preserve"> Stejná sankce je udělena v případech, kdy se vyskytne čtvrté a další pochybení ve stejné kategorii (A nebo B).</w:t>
      </w:r>
    </w:p>
    <w:p w:rsidR="00DE62EB" w:rsidRPr="00AE2683" w:rsidRDefault="00DE62EB" w:rsidP="005A7129">
      <w:pPr>
        <w:pStyle w:val="OdrkyvMPP"/>
        <w:numPr>
          <w:ilvl w:val="0"/>
          <w:numId w:val="19"/>
        </w:numPr>
        <w:spacing w:after="160" w:line="259" w:lineRule="auto"/>
        <w:rPr>
          <w:snapToGrid w:val="0"/>
        </w:rPr>
      </w:pPr>
      <w:r w:rsidRPr="005A7129">
        <w:rPr>
          <w:rFonts w:ascii="Times New Roman" w:eastAsia="Times New Roman" w:hAnsi="Times New Roman" w:cs="Times New Roman"/>
          <w:snapToGrid w:val="0"/>
          <w:szCs w:val="20"/>
          <w:lang w:eastAsia="cs-CZ"/>
        </w:rPr>
        <w:t>Pokud náprava možná je a příjemce nápravu ve stanovené lhůtě neučiní, bude uložena sankce ve výši dle tabulky níže.</w:t>
      </w:r>
    </w:p>
    <w:p w:rsidR="00136F23" w:rsidRDefault="00136F23">
      <w:pPr>
        <w:spacing w:after="160" w:line="259" w:lineRule="auto"/>
        <w:rPr>
          <w:snapToGrid w:val="0"/>
          <w:szCs w:val="20"/>
        </w:rPr>
      </w:pPr>
      <w:r>
        <w:rPr>
          <w:snapToGrid w:val="0"/>
          <w:szCs w:val="20"/>
        </w:rPr>
        <w:br w:type="page"/>
      </w:r>
    </w:p>
    <w:p w:rsidR="00DE62EB" w:rsidRPr="00D77671" w:rsidRDefault="00DE62EB" w:rsidP="00DE62EB">
      <w:pPr>
        <w:pStyle w:val="OdrkyvMPP"/>
        <w:ind w:left="720"/>
        <w:rPr>
          <w:rFonts w:ascii="Times New Roman" w:eastAsia="Times New Roman" w:hAnsi="Times New Roman" w:cs="Times New Roman"/>
          <w:snapToGrid w:val="0"/>
          <w:szCs w:val="20"/>
          <w:lang w:eastAsia="cs-CZ"/>
        </w:rPr>
      </w:pPr>
    </w:p>
    <w:p w:rsidR="00DE62EB" w:rsidRPr="009A485E" w:rsidRDefault="00DE62EB" w:rsidP="00DE62EB">
      <w:pPr>
        <w:spacing w:after="160" w:line="259" w:lineRule="auto"/>
        <w:jc w:val="both"/>
        <w:rPr>
          <w:b/>
        </w:rPr>
      </w:pPr>
      <w:r w:rsidRPr="009A485E">
        <w:rPr>
          <w:b/>
        </w:rPr>
        <w:t>Tabulka č. 7: Nepovinné nástroje</w:t>
      </w:r>
    </w:p>
    <w:p w:rsidR="00DE62EB" w:rsidRPr="00D77671" w:rsidRDefault="00DE62EB" w:rsidP="00DE62EB">
      <w:pPr>
        <w:pStyle w:val="OdrkyvMPP"/>
        <w:rPr>
          <w:rFonts w:ascii="Times New Roman" w:eastAsia="Times New Roman" w:hAnsi="Times New Roman" w:cs="Times New Roman"/>
          <w:snapToGrid w:val="0"/>
          <w:szCs w:val="20"/>
          <w:lang w:eastAsia="cs-CZ"/>
        </w:rPr>
      </w:pPr>
    </w:p>
    <w:p w:rsidR="00DE62EB" w:rsidRPr="00D77671" w:rsidRDefault="00DE62EB" w:rsidP="00DE62EB">
      <w:pPr>
        <w:keepNext/>
        <w:spacing w:after="200"/>
        <w:jc w:val="both"/>
        <w:rPr>
          <w:snapToGrid w:val="0"/>
        </w:rPr>
      </w:pPr>
      <w:bookmarkStart w:id="7" w:name="_Toc453593811"/>
      <w:r w:rsidRPr="00D77671">
        <w:rPr>
          <w:snapToGrid w:val="0"/>
        </w:rPr>
        <w:t>Sankce u nepovinných volitelných nástrojů publicity</w:t>
      </w:r>
      <w:bookmarkEnd w:id="7"/>
    </w:p>
    <w:tbl>
      <w:tblPr>
        <w:tblW w:w="9721" w:type="dxa"/>
        <w:tblInd w:w="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652"/>
        <w:gridCol w:w="1153"/>
        <w:gridCol w:w="2419"/>
        <w:gridCol w:w="2293"/>
        <w:gridCol w:w="1372"/>
      </w:tblGrid>
      <w:tr w:rsidR="00DE62EB" w:rsidRPr="0059006F" w:rsidTr="003B39F8">
        <w:trPr>
          <w:trHeight w:val="301"/>
        </w:trPr>
        <w:tc>
          <w:tcPr>
            <w:tcW w:w="2652" w:type="dxa"/>
            <w:shd w:val="clear" w:color="auto" w:fill="B6DDE8"/>
            <w:noWrap/>
            <w:vAlign w:val="center"/>
            <w:hideMark/>
          </w:tcPr>
          <w:p w:rsidR="00DE62EB" w:rsidRPr="00D77671" w:rsidRDefault="00DE62EB" w:rsidP="003B39F8">
            <w:pPr>
              <w:keepNext/>
              <w:keepLines/>
              <w:jc w:val="both"/>
              <w:rPr>
                <w:b/>
                <w:bCs/>
                <w:color w:val="000000"/>
              </w:rPr>
            </w:pPr>
            <w:r w:rsidRPr="00D77671">
              <w:rPr>
                <w:b/>
                <w:bCs/>
                <w:color w:val="000000"/>
              </w:rPr>
              <w:t>Nástroj publicity</w:t>
            </w:r>
          </w:p>
        </w:tc>
        <w:tc>
          <w:tcPr>
            <w:tcW w:w="985" w:type="dxa"/>
            <w:shd w:val="clear" w:color="auto" w:fill="B6DDE8"/>
            <w:vAlign w:val="center"/>
          </w:tcPr>
          <w:p w:rsidR="00DE62EB" w:rsidRPr="00D77671" w:rsidRDefault="00DE62EB" w:rsidP="003B39F8">
            <w:pPr>
              <w:keepNext/>
              <w:keepLines/>
              <w:jc w:val="both"/>
              <w:rPr>
                <w:b/>
                <w:bCs/>
                <w:color w:val="000000"/>
              </w:rPr>
            </w:pPr>
            <w:r w:rsidRPr="00D77671">
              <w:rPr>
                <w:b/>
                <w:bCs/>
                <w:color w:val="000000"/>
              </w:rPr>
              <w:t>Kategorie</w:t>
            </w:r>
          </w:p>
        </w:tc>
        <w:tc>
          <w:tcPr>
            <w:tcW w:w="2419" w:type="dxa"/>
            <w:shd w:val="clear" w:color="auto" w:fill="B6DDE8"/>
            <w:vAlign w:val="center"/>
            <w:hideMark/>
          </w:tcPr>
          <w:p w:rsidR="00DE62EB" w:rsidRPr="00D77671" w:rsidRDefault="00DE62EB" w:rsidP="003B39F8">
            <w:pPr>
              <w:keepNext/>
              <w:keepLines/>
              <w:jc w:val="both"/>
              <w:rPr>
                <w:b/>
                <w:bCs/>
                <w:color w:val="000000"/>
              </w:rPr>
            </w:pPr>
            <w:r w:rsidRPr="00D77671">
              <w:rPr>
                <w:b/>
                <w:bCs/>
                <w:color w:val="000000"/>
              </w:rPr>
              <w:t>Pochybení</w:t>
            </w:r>
          </w:p>
        </w:tc>
        <w:tc>
          <w:tcPr>
            <w:tcW w:w="2293" w:type="dxa"/>
            <w:shd w:val="clear" w:color="auto" w:fill="B6DDE8"/>
            <w:noWrap/>
            <w:vAlign w:val="center"/>
            <w:hideMark/>
          </w:tcPr>
          <w:p w:rsidR="00DE62EB" w:rsidRPr="00D77671" w:rsidRDefault="00DE62EB" w:rsidP="003B39F8">
            <w:pPr>
              <w:keepNext/>
              <w:keepLines/>
              <w:jc w:val="both"/>
              <w:rPr>
                <w:b/>
                <w:bCs/>
                <w:color w:val="000000"/>
              </w:rPr>
            </w:pPr>
            <w:r w:rsidRPr="00D77671">
              <w:rPr>
                <w:b/>
                <w:bCs/>
                <w:color w:val="000000"/>
              </w:rPr>
              <w:t>Úroveň pochybení</w:t>
            </w:r>
          </w:p>
        </w:tc>
        <w:tc>
          <w:tcPr>
            <w:tcW w:w="1372" w:type="dxa"/>
            <w:shd w:val="clear" w:color="auto" w:fill="B6DDE8"/>
            <w:noWrap/>
            <w:vAlign w:val="center"/>
            <w:hideMark/>
          </w:tcPr>
          <w:p w:rsidR="00DE62EB" w:rsidRPr="00D77671" w:rsidRDefault="00DE62EB" w:rsidP="003B39F8">
            <w:pPr>
              <w:keepNext/>
              <w:keepLines/>
              <w:jc w:val="both"/>
              <w:rPr>
                <w:b/>
                <w:bCs/>
                <w:color w:val="000000"/>
              </w:rPr>
            </w:pPr>
            <w:r w:rsidRPr="00D77671">
              <w:rPr>
                <w:b/>
                <w:bCs/>
                <w:color w:val="000000"/>
              </w:rPr>
              <w:t>Výše sankce</w:t>
            </w:r>
          </w:p>
        </w:tc>
      </w:tr>
      <w:tr w:rsidR="00DE62EB" w:rsidRPr="0059006F" w:rsidTr="003B39F8">
        <w:trPr>
          <w:trHeight w:val="826"/>
        </w:trPr>
        <w:tc>
          <w:tcPr>
            <w:tcW w:w="2652" w:type="dxa"/>
            <w:vMerge w:val="restart"/>
            <w:vAlign w:val="center"/>
            <w:hideMark/>
          </w:tcPr>
          <w:p w:rsidR="00DE62EB" w:rsidRPr="00D77671" w:rsidRDefault="00DE62EB" w:rsidP="003B39F8">
            <w:pPr>
              <w:keepNext/>
              <w:keepLines/>
              <w:jc w:val="both"/>
              <w:rPr>
                <w:b/>
                <w:bCs/>
                <w:color w:val="000000"/>
              </w:rPr>
            </w:pPr>
            <w:r w:rsidRPr="00D77671">
              <w:rPr>
                <w:b/>
                <w:bCs/>
                <w:color w:val="000000"/>
              </w:rPr>
              <w:t>Nepovinné nástroje / volitelná publicita</w:t>
            </w:r>
          </w:p>
        </w:tc>
        <w:tc>
          <w:tcPr>
            <w:tcW w:w="985" w:type="dxa"/>
            <w:vAlign w:val="center"/>
          </w:tcPr>
          <w:p w:rsidR="00DE62EB" w:rsidRPr="00C03537" w:rsidRDefault="00DE62EB" w:rsidP="003B39F8">
            <w:pPr>
              <w:keepNext/>
              <w:keepLines/>
              <w:jc w:val="both"/>
              <w:rPr>
                <w:color w:val="000000"/>
              </w:rPr>
            </w:pPr>
            <w:r w:rsidRPr="00C03537">
              <w:rPr>
                <w:color w:val="000000"/>
              </w:rPr>
              <w:t>A</w:t>
            </w:r>
          </w:p>
        </w:tc>
        <w:tc>
          <w:tcPr>
            <w:tcW w:w="2419" w:type="dxa"/>
            <w:shd w:val="clear" w:color="auto" w:fill="auto"/>
            <w:vAlign w:val="center"/>
            <w:hideMark/>
          </w:tcPr>
          <w:p w:rsidR="00DE62EB" w:rsidRPr="00C03537" w:rsidRDefault="00DE62EB" w:rsidP="003B39F8">
            <w:pPr>
              <w:keepNext/>
              <w:keepLines/>
              <w:rPr>
                <w:color w:val="000000"/>
              </w:rPr>
            </w:pPr>
            <w:r w:rsidRPr="00C03537">
              <w:rPr>
                <w:color w:val="000000"/>
              </w:rPr>
              <w:t xml:space="preserve">Logo EU </w:t>
            </w:r>
          </w:p>
          <w:p w:rsidR="00DE62EB" w:rsidRPr="00C03537" w:rsidRDefault="00DE62EB" w:rsidP="003B39F8">
            <w:pPr>
              <w:keepNext/>
              <w:keepLines/>
              <w:rPr>
                <w:color w:val="000000"/>
              </w:rPr>
            </w:pPr>
            <w:r w:rsidRPr="00C03537">
              <w:rPr>
                <w:color w:val="000000"/>
              </w:rPr>
              <w:t>(znak EU včetně všech povinných odkazů / textů)</w:t>
            </w:r>
          </w:p>
        </w:tc>
        <w:tc>
          <w:tcPr>
            <w:tcW w:w="2293" w:type="dxa"/>
            <w:shd w:val="clear" w:color="auto" w:fill="auto"/>
            <w:noWrap/>
            <w:vAlign w:val="center"/>
            <w:hideMark/>
          </w:tcPr>
          <w:p w:rsidR="00DE62EB" w:rsidRPr="00C03537" w:rsidRDefault="00DE62EB" w:rsidP="003B39F8">
            <w:pPr>
              <w:keepNext/>
              <w:keepLines/>
              <w:rPr>
                <w:color w:val="000000"/>
              </w:rPr>
            </w:pPr>
            <w:r w:rsidRPr="00C03537">
              <w:rPr>
                <w:color w:val="000000"/>
              </w:rPr>
              <w:t>chybí zcela</w:t>
            </w:r>
          </w:p>
        </w:tc>
        <w:tc>
          <w:tcPr>
            <w:tcW w:w="1372" w:type="dxa"/>
            <w:shd w:val="clear" w:color="auto" w:fill="auto"/>
            <w:noWrap/>
            <w:vAlign w:val="center"/>
            <w:hideMark/>
          </w:tcPr>
          <w:p w:rsidR="00DE62EB" w:rsidRPr="00C03537" w:rsidRDefault="00DE62EB" w:rsidP="003B39F8">
            <w:pPr>
              <w:keepNext/>
              <w:keepLines/>
              <w:jc w:val="both"/>
              <w:rPr>
                <w:color w:val="000000"/>
              </w:rPr>
            </w:pPr>
            <w:r w:rsidRPr="00C03537">
              <w:rPr>
                <w:color w:val="000000"/>
              </w:rPr>
              <w:t>0,6 %</w:t>
            </w:r>
          </w:p>
        </w:tc>
      </w:tr>
      <w:tr w:rsidR="00DE62EB" w:rsidRPr="0059006F" w:rsidTr="003B39F8">
        <w:trPr>
          <w:trHeight w:val="411"/>
        </w:trPr>
        <w:tc>
          <w:tcPr>
            <w:tcW w:w="2652" w:type="dxa"/>
            <w:vMerge/>
            <w:vAlign w:val="center"/>
            <w:hideMark/>
          </w:tcPr>
          <w:p w:rsidR="00DE62EB" w:rsidRPr="00D77671" w:rsidRDefault="00DE62EB" w:rsidP="003B39F8">
            <w:pPr>
              <w:keepNext/>
              <w:keepLines/>
              <w:jc w:val="both"/>
              <w:rPr>
                <w:b/>
                <w:bCs/>
                <w:color w:val="000000"/>
              </w:rPr>
            </w:pPr>
          </w:p>
        </w:tc>
        <w:tc>
          <w:tcPr>
            <w:tcW w:w="985" w:type="dxa"/>
            <w:vAlign w:val="center"/>
          </w:tcPr>
          <w:p w:rsidR="00DE62EB" w:rsidRPr="00C03537" w:rsidRDefault="00DE62EB" w:rsidP="003B39F8">
            <w:pPr>
              <w:keepNext/>
              <w:keepLines/>
              <w:jc w:val="both"/>
              <w:rPr>
                <w:color w:val="000000"/>
              </w:rPr>
            </w:pPr>
            <w:r w:rsidRPr="00C03537">
              <w:rPr>
                <w:color w:val="000000"/>
              </w:rPr>
              <w:t>B</w:t>
            </w:r>
          </w:p>
        </w:tc>
        <w:tc>
          <w:tcPr>
            <w:tcW w:w="2419" w:type="dxa"/>
            <w:shd w:val="clear" w:color="auto" w:fill="auto"/>
            <w:noWrap/>
            <w:vAlign w:val="center"/>
            <w:hideMark/>
          </w:tcPr>
          <w:p w:rsidR="00DE62EB" w:rsidRPr="00C03537" w:rsidRDefault="00DE62EB" w:rsidP="00DE62EB">
            <w:pPr>
              <w:keepNext/>
              <w:keepLines/>
              <w:numPr>
                <w:ilvl w:val="0"/>
                <w:numId w:val="20"/>
              </w:numPr>
              <w:spacing w:after="0" w:line="312" w:lineRule="auto"/>
              <w:ind w:left="355" w:hanging="284"/>
              <w:rPr>
                <w:color w:val="000000"/>
              </w:rPr>
            </w:pPr>
            <w:r w:rsidRPr="00C03537">
              <w:rPr>
                <w:color w:val="000000"/>
              </w:rPr>
              <w:t xml:space="preserve">Logo EU (znak EU včetně všech povinných odkazů / textů) </w:t>
            </w:r>
          </w:p>
          <w:p w:rsidR="00DE62EB" w:rsidRPr="00C03537" w:rsidRDefault="00DE62EB" w:rsidP="00DE62EB">
            <w:pPr>
              <w:keepNext/>
              <w:keepLines/>
              <w:numPr>
                <w:ilvl w:val="0"/>
                <w:numId w:val="20"/>
              </w:numPr>
              <w:spacing w:after="0" w:line="312" w:lineRule="auto"/>
              <w:ind w:left="355" w:hanging="284"/>
              <w:contextualSpacing/>
              <w:rPr>
                <w:color w:val="000000"/>
              </w:rPr>
            </w:pPr>
            <w:r w:rsidRPr="00C03537">
              <w:rPr>
                <w:color w:val="000000"/>
              </w:rPr>
              <w:t>informace na internetové stránce, pokud taková existuje</w:t>
            </w:r>
            <w:r w:rsidRPr="005A7129">
              <w:rPr>
                <w:rFonts w:cs="Arial"/>
                <w:snapToGrid w:val="0"/>
                <w:szCs w:val="20"/>
                <w:vertAlign w:val="superscript"/>
              </w:rPr>
              <w:footnoteReference w:id="22"/>
            </w:r>
          </w:p>
        </w:tc>
        <w:tc>
          <w:tcPr>
            <w:tcW w:w="2293" w:type="dxa"/>
            <w:shd w:val="clear" w:color="auto" w:fill="auto"/>
            <w:noWrap/>
            <w:vAlign w:val="center"/>
            <w:hideMark/>
          </w:tcPr>
          <w:p w:rsidR="00DE62EB" w:rsidRPr="00C03537" w:rsidRDefault="00DE62EB" w:rsidP="00DE62EB">
            <w:pPr>
              <w:keepNext/>
              <w:keepLines/>
              <w:numPr>
                <w:ilvl w:val="0"/>
                <w:numId w:val="20"/>
              </w:numPr>
              <w:spacing w:after="0" w:line="312" w:lineRule="auto"/>
              <w:ind w:left="487" w:hanging="283"/>
              <w:rPr>
                <w:color w:val="000000"/>
              </w:rPr>
            </w:pPr>
            <w:r w:rsidRPr="00C03537">
              <w:rPr>
                <w:color w:val="000000"/>
              </w:rPr>
              <w:t>je uveden chybně</w:t>
            </w:r>
          </w:p>
          <w:p w:rsidR="00DE62EB" w:rsidRPr="00C03537" w:rsidRDefault="00DE62EB" w:rsidP="003B39F8">
            <w:pPr>
              <w:keepNext/>
              <w:keepLines/>
              <w:ind w:left="487" w:hanging="283"/>
              <w:rPr>
                <w:color w:val="000000"/>
              </w:rPr>
            </w:pPr>
          </w:p>
          <w:p w:rsidR="00DE62EB" w:rsidRPr="00C03537" w:rsidRDefault="00DE62EB" w:rsidP="003B39F8">
            <w:pPr>
              <w:keepNext/>
              <w:keepLines/>
              <w:ind w:left="487" w:hanging="283"/>
              <w:rPr>
                <w:color w:val="000000"/>
              </w:rPr>
            </w:pPr>
          </w:p>
          <w:p w:rsidR="00DE62EB" w:rsidRPr="00C03537" w:rsidRDefault="00DE62EB" w:rsidP="00DE62EB">
            <w:pPr>
              <w:keepNext/>
              <w:keepLines/>
              <w:numPr>
                <w:ilvl w:val="0"/>
                <w:numId w:val="20"/>
              </w:numPr>
              <w:spacing w:after="0" w:line="312" w:lineRule="auto"/>
              <w:ind w:left="487" w:hanging="283"/>
              <w:contextualSpacing/>
              <w:rPr>
                <w:color w:val="000000"/>
              </w:rPr>
            </w:pPr>
            <w:r w:rsidRPr="00C03537">
              <w:rPr>
                <w:color w:val="000000"/>
              </w:rPr>
              <w:t>chybí zcela / je uveden chybně</w:t>
            </w:r>
          </w:p>
        </w:tc>
        <w:tc>
          <w:tcPr>
            <w:tcW w:w="1372" w:type="dxa"/>
            <w:shd w:val="clear" w:color="auto" w:fill="auto"/>
            <w:noWrap/>
            <w:vAlign w:val="center"/>
            <w:hideMark/>
          </w:tcPr>
          <w:p w:rsidR="00DE62EB" w:rsidRPr="00C03537" w:rsidRDefault="00DE62EB" w:rsidP="003B39F8">
            <w:pPr>
              <w:keepNext/>
              <w:keepLines/>
              <w:jc w:val="both"/>
              <w:rPr>
                <w:color w:val="000000"/>
              </w:rPr>
            </w:pPr>
            <w:r w:rsidRPr="00C03537">
              <w:rPr>
                <w:color w:val="000000"/>
              </w:rPr>
              <w:t>0,4 %</w:t>
            </w:r>
          </w:p>
        </w:tc>
      </w:tr>
    </w:tbl>
    <w:p w:rsidR="00DE62EB" w:rsidRPr="0059006F" w:rsidRDefault="00DE62EB" w:rsidP="00DE62EB">
      <w:pPr>
        <w:widowControl w:val="0"/>
        <w:ind w:left="765" w:right="-2"/>
        <w:jc w:val="both"/>
        <w:rPr>
          <w:snapToGrid w:val="0"/>
        </w:rPr>
      </w:pPr>
    </w:p>
    <w:p w:rsidR="00DE62EB" w:rsidRPr="00645010" w:rsidRDefault="00DE62EB" w:rsidP="00DE62EB">
      <w:pPr>
        <w:numPr>
          <w:ilvl w:val="0"/>
          <w:numId w:val="5"/>
        </w:numPr>
        <w:ind w:left="357" w:hanging="357"/>
        <w:jc w:val="both"/>
        <w:rPr>
          <w:snapToGrid w:val="0"/>
        </w:rPr>
      </w:pPr>
      <w:r w:rsidRPr="00645010">
        <w:rPr>
          <w:snapToGrid w:val="0"/>
        </w:rPr>
        <w:t xml:space="preserve">Příjemce postupuje v souladu s Programovým dokumentem </w:t>
      </w:r>
      <w:r>
        <w:rPr>
          <w:snapToGrid w:val="0"/>
        </w:rPr>
        <w:t>OPD</w:t>
      </w:r>
      <w:r w:rsidRPr="00645010">
        <w:rPr>
          <w:snapToGrid w:val="0"/>
        </w:rPr>
        <w:t xml:space="preserve"> a řídí se </w:t>
      </w:r>
      <w:r>
        <w:rPr>
          <w:snapToGrid w:val="0"/>
        </w:rPr>
        <w:t xml:space="preserve">aktuální </w:t>
      </w:r>
      <w:r w:rsidRPr="00645010">
        <w:rPr>
          <w:snapToGrid w:val="0"/>
        </w:rPr>
        <w:t>verzí P</w:t>
      </w:r>
      <w:r>
        <w:rPr>
          <w:snapToGrid w:val="0"/>
        </w:rPr>
        <w:t>ravidel</w:t>
      </w:r>
      <w:r w:rsidRPr="00645010">
        <w:rPr>
          <w:snapToGrid w:val="0"/>
        </w:rPr>
        <w:t xml:space="preserve"> pro žadatele a příjemce </w:t>
      </w:r>
      <w:r>
        <w:rPr>
          <w:snapToGrid w:val="0"/>
        </w:rPr>
        <w:t>OPD 2014-2020</w:t>
      </w:r>
      <w:r w:rsidRPr="00645010">
        <w:rPr>
          <w:snapToGrid w:val="0"/>
        </w:rPr>
        <w:t xml:space="preserve">, která byla platná v době, kdy došlo k právní skutečnosti (např. </w:t>
      </w:r>
      <w:r>
        <w:rPr>
          <w:snapToGrid w:val="0"/>
        </w:rPr>
        <w:t>vyhlášení výběrového/zadávacího řízení</w:t>
      </w:r>
      <w:r w:rsidRPr="00645010">
        <w:rPr>
          <w:snapToGrid w:val="0"/>
        </w:rPr>
        <w:t>) či nastala událost související s realizací projektu (např.</w:t>
      </w:r>
      <w:r>
        <w:rPr>
          <w:snapToGrid w:val="0"/>
        </w:rPr>
        <w:t xml:space="preserve"> zpracování zpráv o realizaci, zpracování zjednodušených žádostí o platbu</w:t>
      </w:r>
      <w:r w:rsidRPr="00645010">
        <w:rPr>
          <w:snapToGrid w:val="0"/>
        </w:rPr>
        <w:t xml:space="preserve">). </w:t>
      </w:r>
    </w:p>
    <w:p w:rsidR="00DE62EB" w:rsidRPr="0043172D" w:rsidRDefault="00DE62EB" w:rsidP="005A7129">
      <w:pPr>
        <w:numPr>
          <w:ilvl w:val="0"/>
          <w:numId w:val="5"/>
        </w:numPr>
        <w:tabs>
          <w:tab w:val="left" w:pos="708"/>
        </w:tabs>
        <w:spacing w:before="240"/>
        <w:ind w:right="-2"/>
        <w:jc w:val="both"/>
        <w:rPr>
          <w:b/>
          <w:i/>
          <w:snapToGrid w:val="0"/>
        </w:rPr>
      </w:pPr>
      <w:r w:rsidRPr="0043172D">
        <w:rPr>
          <w:snapToGrid w:val="0"/>
        </w:rPr>
        <w:t>Pokud bude v souvislosti s použitím prostředků z rozpočtu Evropské unie (dále „EU“) nebo veřejných zdrojů České republiky zjištěno podezření na nesrovnalost, má kterýkoliv subjekt zapojený do implementace ESI fondů povinnost ohlásit toto podezření ŘO OPD, který odpovídá v rámci vnitřní úrovně za řádné hlášení nesrovnalostí. Platební a certifikační orgán (dále „PCO“) může po projednání s ŘO OPD na nezbytně nutnou dobu pozastavit platby a certifikaci na daný projekt.  Pokud se podezření na nesrovnalost potvrdí a PCO rozhodne o tom, že výdaje projektu nemohou být certifikovány, ŘO OPD se souhlasem správce kapitoly rozhodne o vyjmutí projektu ze spolufinancování z prostředků EU a financování projektu bude zajištěno pouze z veřejných zdrojů ČR (tj. ze zdrojů příslušné kapitoly státního rozpočtu/jiných zdrojů příjemce). Jedná-li se o podezření na nesrovnalost spočívající v porušení rozpočtové kázně dle zákona č. 218/2000 Sb., o rozpočtových pravidlech a o změně některých souvisejících zákonů (rozpočtová pravidla), ve znění pozdějších předpisů, ŘO OPD předá případ k dalšímu řízení příslušnému finančnímu úřadu.</w:t>
      </w:r>
    </w:p>
    <w:p w:rsidR="00DE62EB" w:rsidRDefault="00DE62EB" w:rsidP="00DE62EB">
      <w:pPr>
        <w:tabs>
          <w:tab w:val="left" w:pos="708"/>
        </w:tabs>
        <w:jc w:val="center"/>
        <w:rPr>
          <w:b/>
          <w:i/>
          <w:snapToGrid w:val="0"/>
        </w:rPr>
      </w:pPr>
    </w:p>
    <w:p w:rsidR="00DE62EB" w:rsidRPr="00964654" w:rsidRDefault="00DE62EB" w:rsidP="00DE62EB">
      <w:pPr>
        <w:tabs>
          <w:tab w:val="left" w:pos="708"/>
        </w:tabs>
        <w:jc w:val="center"/>
        <w:rPr>
          <w:b/>
          <w:i/>
          <w:snapToGrid w:val="0"/>
        </w:rPr>
      </w:pPr>
      <w:r>
        <w:rPr>
          <w:b/>
          <w:i/>
          <w:snapToGrid w:val="0"/>
        </w:rPr>
        <w:t>Č</w:t>
      </w:r>
      <w:r w:rsidRPr="00964654">
        <w:rPr>
          <w:b/>
          <w:i/>
          <w:snapToGrid w:val="0"/>
        </w:rPr>
        <w:t xml:space="preserve">ást </w:t>
      </w:r>
      <w:r>
        <w:rPr>
          <w:b/>
          <w:i/>
          <w:snapToGrid w:val="0"/>
        </w:rPr>
        <w:t>I</w:t>
      </w:r>
      <w:r w:rsidRPr="00964654">
        <w:rPr>
          <w:b/>
          <w:i/>
          <w:snapToGrid w:val="0"/>
        </w:rPr>
        <w:t>V</w:t>
      </w:r>
    </w:p>
    <w:p w:rsidR="00DE62EB" w:rsidRDefault="00DE62EB" w:rsidP="00DE62EB">
      <w:pPr>
        <w:tabs>
          <w:tab w:val="left" w:pos="708"/>
        </w:tabs>
        <w:jc w:val="center"/>
        <w:rPr>
          <w:b/>
          <w:i/>
          <w:snapToGrid w:val="0"/>
        </w:rPr>
      </w:pPr>
      <w:r w:rsidRPr="00964654">
        <w:rPr>
          <w:b/>
          <w:i/>
          <w:snapToGrid w:val="0"/>
        </w:rPr>
        <w:t>Závěrečná ustanovení</w:t>
      </w:r>
    </w:p>
    <w:p w:rsidR="00DE62EB" w:rsidRPr="00964654" w:rsidRDefault="00DE62EB" w:rsidP="00DE62EB">
      <w:pPr>
        <w:tabs>
          <w:tab w:val="left" w:pos="708"/>
        </w:tabs>
        <w:jc w:val="both"/>
        <w:rPr>
          <w:b/>
          <w:snapToGrid w:val="0"/>
        </w:rPr>
      </w:pPr>
    </w:p>
    <w:p w:rsidR="00DE62EB" w:rsidRPr="00615078" w:rsidRDefault="00DE62EB" w:rsidP="00DE62EB">
      <w:pPr>
        <w:numPr>
          <w:ilvl w:val="0"/>
          <w:numId w:val="17"/>
        </w:numPr>
        <w:ind w:right="-2"/>
        <w:jc w:val="both"/>
        <w:rPr>
          <w:snapToGrid w:val="0"/>
        </w:rPr>
      </w:pPr>
      <w:r>
        <w:rPr>
          <w:snapToGrid w:val="0"/>
        </w:rPr>
        <w:t xml:space="preserve">Schvalovací protokol včetně Specifikace bude příjemci zaslán jak dle Spisového řádu MD, tak prostřednictvím MS2014+. </w:t>
      </w:r>
      <w:r w:rsidRPr="00BA46D2">
        <w:rPr>
          <w:snapToGrid w:val="0"/>
        </w:rPr>
        <w:t xml:space="preserve">  </w:t>
      </w:r>
      <w:r w:rsidRPr="00615078">
        <w:rPr>
          <w:snapToGrid w:val="0"/>
        </w:rPr>
        <w:t xml:space="preserve">  </w:t>
      </w:r>
    </w:p>
    <w:p w:rsidR="00DE62EB" w:rsidRDefault="00DE62EB" w:rsidP="00DE62EB">
      <w:pPr>
        <w:numPr>
          <w:ilvl w:val="0"/>
          <w:numId w:val="17"/>
        </w:numPr>
        <w:ind w:right="-2"/>
        <w:jc w:val="both"/>
        <w:rPr>
          <w:snapToGrid w:val="0"/>
        </w:rPr>
      </w:pPr>
      <w:r>
        <w:rPr>
          <w:snapToGrid w:val="0"/>
        </w:rPr>
        <w:t xml:space="preserve">Na poskytnuté peněžní prostředky a nakládání s nimi se vztahuje </w:t>
      </w:r>
      <w:r w:rsidRPr="00964654">
        <w:rPr>
          <w:snapToGrid w:val="0"/>
        </w:rPr>
        <w:t>zákon č. 218/2000 Sb., o rozpočtových pravidlech a o změně některých souvisejících zákonů</w:t>
      </w:r>
      <w:r>
        <w:rPr>
          <w:snapToGrid w:val="0"/>
        </w:rPr>
        <w:t xml:space="preserve"> (rozpočtová pravidla)</w:t>
      </w:r>
      <w:r w:rsidRPr="00964654">
        <w:rPr>
          <w:snapToGrid w:val="0"/>
        </w:rPr>
        <w:t>, ve znění pozdějších předpisů, vyhlášk</w:t>
      </w:r>
      <w:r>
        <w:rPr>
          <w:snapToGrid w:val="0"/>
        </w:rPr>
        <w:t>a</w:t>
      </w:r>
      <w:r w:rsidRPr="00964654">
        <w:rPr>
          <w:snapToGrid w:val="0"/>
        </w:rPr>
        <w:t xml:space="preserve"> Ministerstva financí č. </w:t>
      </w:r>
      <w:r>
        <w:rPr>
          <w:snapToGrid w:val="0"/>
        </w:rPr>
        <w:t>560/2006</w:t>
      </w:r>
      <w:r w:rsidRPr="00964654">
        <w:rPr>
          <w:snapToGrid w:val="0"/>
        </w:rPr>
        <w:t xml:space="preserve"> Sb., o účasti státního rozpočtu na financování programů reprodukce majetku</w:t>
      </w:r>
      <w:r>
        <w:rPr>
          <w:snapToGrid w:val="0"/>
        </w:rPr>
        <w:t>, vyhláška Ministerstva financí č. 367/2015 Sb., kterou se stanoví zásady a lhůty finančního vypořádání vztahů se státním rozpočtem, státními finančními aktivy a Národním fondem a další platné právní předpisy.</w:t>
      </w:r>
    </w:p>
    <w:p w:rsidR="00DE62EB" w:rsidRDefault="00DE62EB" w:rsidP="00DE62EB">
      <w:pPr>
        <w:numPr>
          <w:ilvl w:val="0"/>
          <w:numId w:val="17"/>
        </w:numPr>
        <w:ind w:right="-2"/>
        <w:jc w:val="both"/>
        <w:rPr>
          <w:snapToGrid w:val="0"/>
        </w:rPr>
      </w:pPr>
      <w:r>
        <w:rPr>
          <w:snapToGrid w:val="0"/>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DE62EB" w:rsidRPr="004203DC" w:rsidRDefault="00DE62EB" w:rsidP="00DE62EB">
      <w:pPr>
        <w:ind w:left="357" w:right="-2"/>
        <w:jc w:val="both"/>
        <w:rPr>
          <w:snapToGrid w:val="0"/>
        </w:rPr>
      </w:pPr>
    </w:p>
    <w:p w:rsidR="00DE62EB" w:rsidRDefault="00DE62EB" w:rsidP="00DE62EB">
      <w:pPr>
        <w:tabs>
          <w:tab w:val="left" w:pos="708"/>
        </w:tabs>
        <w:jc w:val="both"/>
        <w:rPr>
          <w:snapToGrid w:val="0"/>
        </w:rPr>
      </w:pPr>
    </w:p>
    <w:p w:rsidR="00DE62EB" w:rsidRDefault="00DE62EB" w:rsidP="00DE62EB">
      <w:pPr>
        <w:ind w:right="-2"/>
        <w:jc w:val="both"/>
        <w:rPr>
          <w:rFonts w:ascii="Arial" w:hAnsi="Arial" w:cs="Arial"/>
          <w:b/>
          <w:smallCaps/>
        </w:rPr>
      </w:pPr>
    </w:p>
    <w:p w:rsidR="00AF4B6C" w:rsidRDefault="00AF4B6C" w:rsidP="00DE62EB">
      <w:pPr>
        <w:ind w:right="-2"/>
        <w:jc w:val="both"/>
        <w:rPr>
          <w:rFonts w:ascii="Arial" w:hAnsi="Arial" w:cs="Arial"/>
          <w:b/>
          <w:smallCaps/>
        </w:rPr>
      </w:pPr>
    </w:p>
    <w:p w:rsidR="00AF4B6C" w:rsidRDefault="00AF4B6C" w:rsidP="00AF4B6C">
      <w:pPr>
        <w:jc w:val="both"/>
        <w:rPr>
          <w:sz w:val="22"/>
          <w:szCs w:val="22"/>
        </w:rPr>
      </w:pPr>
    </w:p>
    <w:p w:rsidR="00AF4B6C" w:rsidRDefault="00AF4B6C" w:rsidP="00AF4B6C">
      <w:pPr>
        <w:jc w:val="both"/>
        <w:rPr>
          <w:sz w:val="22"/>
          <w:szCs w:val="22"/>
        </w:rPr>
      </w:pPr>
      <w:r>
        <w:rPr>
          <w:sz w:val="22"/>
          <w:szCs w:val="22"/>
        </w:rPr>
        <w:t>V Praze dne _______________</w:t>
      </w:r>
    </w:p>
    <w:p w:rsidR="00AF4B6C" w:rsidRDefault="00AF4B6C" w:rsidP="00AF4B6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w:t>
      </w:r>
      <w:r w:rsidR="00376BAB">
        <w:rPr>
          <w:sz w:val="22"/>
          <w:szCs w:val="22"/>
        </w:rPr>
        <w:t>__</w:t>
      </w:r>
      <w:r>
        <w:rPr>
          <w:sz w:val="22"/>
          <w:szCs w:val="22"/>
        </w:rPr>
        <w:t>__</w:t>
      </w:r>
    </w:p>
    <w:p w:rsidR="00AF4B6C" w:rsidRPr="00376BAB" w:rsidRDefault="00AF4B6C" w:rsidP="00AF4B6C">
      <w:pPr>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76BAB">
        <w:rPr>
          <w:sz w:val="22"/>
          <w:szCs w:val="22"/>
        </w:rPr>
        <w:tab/>
      </w:r>
      <w:r w:rsidRPr="00376BAB">
        <w:rPr>
          <w:b/>
          <w:sz w:val="22"/>
          <w:szCs w:val="22"/>
        </w:rPr>
        <w:t>Ing. Mgr. Marek Pastucha</w:t>
      </w:r>
      <w:r w:rsidRPr="00376BAB">
        <w:rPr>
          <w:b/>
          <w:sz w:val="22"/>
          <w:szCs w:val="22"/>
        </w:rPr>
        <w:tab/>
      </w:r>
    </w:p>
    <w:p w:rsidR="00AF4B6C" w:rsidRDefault="00AF4B6C" w:rsidP="00AF4B6C">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ředitel Odboru fondů EU</w:t>
      </w:r>
    </w:p>
    <w:p w:rsidR="00DE62EB" w:rsidRDefault="00DE62EB" w:rsidP="00AF4B6C"/>
    <w:sectPr w:rsidR="00DE62EB" w:rsidSect="00F070A4">
      <w:headerReference w:type="default" r:id="rId8"/>
      <w:footerReference w:type="default" r:id="rId9"/>
      <w:headerReference w:type="first" r:id="rId10"/>
      <w:footerReference w:type="first" r:id="rId11"/>
      <w:pgSz w:w="11906" w:h="16838"/>
      <w:pgMar w:top="851" w:right="1417" w:bottom="1417" w:left="1417" w:header="708"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EC" w:rsidRDefault="002D66EC" w:rsidP="00CE62E3">
      <w:pPr>
        <w:spacing w:after="0"/>
      </w:pPr>
      <w:r>
        <w:separator/>
      </w:r>
    </w:p>
  </w:endnote>
  <w:endnote w:type="continuationSeparator" w:id="0">
    <w:p w:rsidR="002D66EC" w:rsidRDefault="002D66EC" w:rsidP="00CE6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charset w:val="00"/>
    <w:family w:val="auto"/>
    <w:pitch w:val="default"/>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1" w:rsidRPr="0017181E" w:rsidRDefault="00DE3E01" w:rsidP="00291E49">
    <w:pPr>
      <w:pStyle w:val="Zpat"/>
      <w:jc w:val="center"/>
    </w:pPr>
    <w:r w:rsidRPr="0017181E">
      <w:t xml:space="preserve">Stránka </w:t>
    </w:r>
    <w:r w:rsidRPr="0017181E">
      <w:fldChar w:fldCharType="begin"/>
    </w:r>
    <w:r w:rsidRPr="0017181E">
      <w:instrText>PAGE  \* Arabic  \* MERGEFORMAT</w:instrText>
    </w:r>
    <w:r w:rsidRPr="0017181E">
      <w:fldChar w:fldCharType="separate"/>
    </w:r>
    <w:r w:rsidR="00DA49C7">
      <w:rPr>
        <w:noProof/>
      </w:rPr>
      <w:t>21</w:t>
    </w:r>
    <w:r w:rsidRPr="0017181E">
      <w:fldChar w:fldCharType="end"/>
    </w:r>
    <w:r w:rsidRPr="0017181E">
      <w:t xml:space="preserve"> z </w:t>
    </w:r>
    <w:fldSimple w:instr="NUMPAGES  \* Arabic  \* MERGEFORMAT">
      <w:r w:rsidR="00DA49C7">
        <w:rPr>
          <w:noProof/>
        </w:rPr>
        <w:t>21</w:t>
      </w:r>
    </w:fldSimple>
  </w:p>
  <w:p w:rsidR="00DE3E01" w:rsidRDefault="00DE3E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1" w:rsidRPr="0017181E" w:rsidRDefault="00DE3E01">
    <w:pPr>
      <w:pStyle w:val="Zpat"/>
      <w:jc w:val="center"/>
    </w:pPr>
    <w:r w:rsidRPr="0017181E">
      <w:t xml:space="preserve">Stránka </w:t>
    </w:r>
    <w:r w:rsidRPr="0017181E">
      <w:fldChar w:fldCharType="begin"/>
    </w:r>
    <w:r w:rsidRPr="0017181E">
      <w:instrText>PAGE  \* Arabic  \* MERGEFORMAT</w:instrText>
    </w:r>
    <w:r w:rsidRPr="0017181E">
      <w:fldChar w:fldCharType="separate"/>
    </w:r>
    <w:r w:rsidR="00DA49C7">
      <w:rPr>
        <w:noProof/>
      </w:rPr>
      <w:t>1</w:t>
    </w:r>
    <w:r w:rsidRPr="0017181E">
      <w:fldChar w:fldCharType="end"/>
    </w:r>
    <w:r w:rsidRPr="0017181E">
      <w:t xml:space="preserve"> z </w:t>
    </w:r>
    <w:fldSimple w:instr="NUMPAGES  \* Arabic  \* MERGEFORMAT">
      <w:r w:rsidR="00DA49C7">
        <w:rPr>
          <w:noProof/>
        </w:rPr>
        <w:t>21</w:t>
      </w:r>
    </w:fldSimple>
  </w:p>
  <w:p w:rsidR="00DE3E01" w:rsidRDefault="00DE3E01" w:rsidP="00C905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EC" w:rsidRDefault="002D66EC" w:rsidP="00CE62E3">
      <w:pPr>
        <w:spacing w:after="0"/>
      </w:pPr>
      <w:r>
        <w:separator/>
      </w:r>
    </w:p>
  </w:footnote>
  <w:footnote w:type="continuationSeparator" w:id="0">
    <w:p w:rsidR="002D66EC" w:rsidRDefault="002D66EC" w:rsidP="00CE62E3">
      <w:pPr>
        <w:spacing w:after="0"/>
      </w:pPr>
      <w:r>
        <w:continuationSeparator/>
      </w:r>
    </w:p>
  </w:footnote>
  <w:footnote w:id="1">
    <w:p w:rsidR="00DE3E01" w:rsidRDefault="00DE3E01" w:rsidP="00DE62EB">
      <w:pPr>
        <w:pStyle w:val="Textpoznpodarou"/>
      </w:pPr>
      <w:r>
        <w:rPr>
          <w:rStyle w:val="Znakapoznpodarou"/>
        </w:rPr>
        <w:footnoteRef/>
      </w:r>
      <w:r>
        <w:t xml:space="preserve"> Specifikace může být též nedílnou součástí Rozhodnutí o poskytnutí dotace</w:t>
      </w:r>
    </w:p>
  </w:footnote>
  <w:footnote w:id="2">
    <w:p w:rsidR="00AC2BE1" w:rsidRDefault="00AC2BE1" w:rsidP="00DE62EB">
      <w:pPr>
        <w:pStyle w:val="Textpoznpodarou"/>
        <w:jc w:val="both"/>
      </w:pPr>
      <w:r>
        <w:rPr>
          <w:rStyle w:val="Znakapoznpodarou"/>
        </w:rPr>
        <w:footnoteRef/>
      </w:r>
      <w:r>
        <w:t xml:space="preserve"> Viz Pravidla pro žadatele a příjemce OPD 2014 -2020 a Metodický pokyn pro způsobilost výdajů a jejich vykazování v programovém období 2014-2020</w:t>
      </w:r>
    </w:p>
  </w:footnote>
  <w:footnote w:id="3">
    <w:p w:rsidR="00AC2BE1" w:rsidRDefault="00AC2BE1" w:rsidP="00DE62EB">
      <w:pPr>
        <w:pStyle w:val="Textpoznpodarou"/>
        <w:jc w:val="both"/>
      </w:pPr>
      <w:r>
        <w:rPr>
          <w:rStyle w:val="Znakapoznpodarou"/>
        </w:rPr>
        <w:footnoteRef/>
      </w:r>
      <w:r>
        <w:t xml:space="preserve"> Podle ustanovení § 44 odst. 2 písm. e</w:t>
      </w:r>
      <w:r w:rsidRPr="009832CB">
        <w:t>)</w:t>
      </w:r>
      <w:r>
        <w:t xml:space="preserve"> nebo f) zákona č. 218/2000 Sb., o rozpočtových pravidlech a o změně některých zákonů (rozpočtová pravidla), ve znění pozdějších předpisů.</w:t>
      </w:r>
    </w:p>
  </w:footnote>
  <w:footnote w:id="4">
    <w:p w:rsidR="00AC2BE1" w:rsidRDefault="00AC2BE1" w:rsidP="00DE62EB">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w:t>
      </w:r>
    </w:p>
  </w:footnote>
  <w:footnote w:id="5">
    <w:p w:rsidR="00AC2BE1" w:rsidRDefault="00AC2BE1" w:rsidP="00DE62EB">
      <w:pPr>
        <w:pStyle w:val="Textpoznpodarou"/>
      </w:pPr>
      <w:r>
        <w:rPr>
          <w:rStyle w:val="Znakapoznpodarou"/>
        </w:rPr>
        <w:footnoteRef/>
      </w:r>
      <w:r>
        <w:t xml:space="preserve"> Peněžní prostředky poskytnuté ze státního rozpočtu jiné, např. podle </w:t>
      </w:r>
      <w:r w:rsidRPr="00630323">
        <w:t xml:space="preserve">§ 8b odst. 3 zákona č. 218/2000 Sb., </w:t>
      </w:r>
      <w:r>
        <w:t>o </w:t>
      </w:r>
      <w:r w:rsidRPr="00630323">
        <w:t>rozpočtových pravidlech a o změně některých zákonů (rozpočtová pravidla), ve znění pozdějších předpisů.</w:t>
      </w:r>
    </w:p>
  </w:footnote>
  <w:footnote w:id="6">
    <w:p w:rsidR="00DE3E01" w:rsidRDefault="00DE3E01" w:rsidP="00DE62EB">
      <w:pPr>
        <w:pStyle w:val="Textpoznpodarou"/>
      </w:pPr>
      <w:r w:rsidRPr="00A54451">
        <w:rPr>
          <w:rStyle w:val="Znakapoznpodarou"/>
        </w:rPr>
        <w:footnoteRef/>
      </w:r>
      <w:r w:rsidRPr="00A54451">
        <w:t xml:space="preserve"> </w:t>
      </w:r>
      <w:r w:rsidRPr="005A7129">
        <w:t>Pro OSS se Rozhodnutí o poskytnutí dotace vydává jen pro investiční výdaje.</w:t>
      </w:r>
    </w:p>
  </w:footnote>
  <w:footnote w:id="7">
    <w:p w:rsidR="00DE3E01" w:rsidRDefault="00DE3E01" w:rsidP="00DE62EB">
      <w:pPr>
        <w:pStyle w:val="Textpoznpodarou"/>
        <w:jc w:val="both"/>
      </w:pPr>
      <w:r>
        <w:rPr>
          <w:rStyle w:val="Znakapoznpodarou"/>
        </w:rPr>
        <w:footnoteRef/>
      </w:r>
      <w:r>
        <w:t xml:space="preserve"> </w:t>
      </w:r>
      <w:r w:rsidRPr="001D7C0F">
        <w:t xml:space="preserve">minimálně v rozsahu popisu projektu v </w:t>
      </w:r>
      <w:r>
        <w:t>IS KP2014+</w:t>
      </w:r>
    </w:p>
  </w:footnote>
  <w:footnote w:id="8">
    <w:p w:rsidR="00DE3E01" w:rsidRDefault="00DE3E01" w:rsidP="00DE62EB">
      <w:pPr>
        <w:pStyle w:val="Textpoznpodarou"/>
        <w:jc w:val="both"/>
      </w:pPr>
      <w:r>
        <w:rPr>
          <w:rStyle w:val="Znakapoznpodarou"/>
        </w:rPr>
        <w:footnoteRef/>
      </w:r>
      <w:r>
        <w:t xml:space="preserve"> </w:t>
      </w:r>
      <w:r w:rsidRPr="001D7C0F">
        <w:t>zákon č. 137/2006 Sb., o veřejných zakázkách, ve znění pozdějších předpisů a zákon č</w:t>
      </w:r>
      <w:r w:rsidRPr="00ED48D5">
        <w:t xml:space="preserve">. 134/2016 </w:t>
      </w:r>
      <w:r>
        <w:t>Sb.,</w:t>
      </w:r>
      <w:r w:rsidRPr="00ED48D5">
        <w:t xml:space="preserve"> o </w:t>
      </w:r>
      <w:r w:rsidRPr="001D7C0F">
        <w:t>zadávání veřejných zakázek, ve znění pozdějších předpisů.</w:t>
      </w:r>
      <w:r>
        <w:rPr>
          <w:sz w:val="16"/>
          <w:szCs w:val="16"/>
        </w:rPr>
        <w:t xml:space="preserve"> </w:t>
      </w:r>
      <w:r>
        <w:t xml:space="preserve"> </w:t>
      </w:r>
    </w:p>
  </w:footnote>
  <w:footnote w:id="9">
    <w:p w:rsidR="00DE3E01" w:rsidRDefault="00DE3E01" w:rsidP="00DE62EB">
      <w:pPr>
        <w:pStyle w:val="Textpoznpodarou"/>
        <w:jc w:val="both"/>
      </w:pPr>
      <w:r>
        <w:rPr>
          <w:rStyle w:val="Znakapoznpodarou"/>
        </w:rPr>
        <w:footnoteRef/>
      </w:r>
      <w:r>
        <w:t xml:space="preserve"> </w:t>
      </w:r>
      <w:r w:rsidRPr="00591A33">
        <w:t>Je-li nepodstatná změna oznámena příjemcem předtím, než nastane, považuje se za potvrzenou ŘO OPD, pokud do 25 pracovních dnů od oznámení těchto změn projektu neoznámí příjemci, že změny projektu nelze akceptovat, případně požádá o doplňující informace nezbytné pro posouzení navržené změny projektu.</w:t>
      </w:r>
      <w:r>
        <w:t xml:space="preserve"> </w:t>
      </w:r>
      <w:r w:rsidRPr="00591A33">
        <w:t>Jsou-li nepodstatné změny oznámeny příjemcem až po</w:t>
      </w:r>
      <w:r>
        <w:t>té, co nastanou, považují se za</w:t>
      </w:r>
      <w:r w:rsidRPr="00591A33">
        <w:t xml:space="preserve"> potvrzené ŘO OPD až po zpětném oznámení ŘO OPD na žadatele/příjemce o souhlasu s nimi.</w:t>
      </w:r>
    </w:p>
  </w:footnote>
  <w:footnote w:id="10">
    <w:p w:rsidR="00DE3E01" w:rsidRDefault="00DE3E01" w:rsidP="00DE62EB">
      <w:pPr>
        <w:pStyle w:val="Textpoznpodarou"/>
      </w:pPr>
      <w:r>
        <w:rPr>
          <w:rStyle w:val="Znakapoznpodarou"/>
        </w:rPr>
        <w:footnoteRef/>
      </w:r>
      <w:r>
        <w:t xml:space="preserve"> Pokud je Specifikace součástí Rozhodnutí o poskytnutí dotace, musí požadovaná změna proběhnout v souladu se zákonem o rozpočtových pravidlech v platném znění, tj. na žádost příjemce a vždy před porušením stanovené povinnosti</w:t>
      </w:r>
    </w:p>
  </w:footnote>
  <w:footnote w:id="11">
    <w:p w:rsidR="00DE3E01" w:rsidRDefault="00DE3E01" w:rsidP="00DE62EB">
      <w:pPr>
        <w:pStyle w:val="Textpoznpodarou"/>
      </w:pPr>
      <w:r>
        <w:rPr>
          <w:rStyle w:val="Znakapoznpodarou"/>
        </w:rPr>
        <w:footnoteRef/>
      </w:r>
      <w:r>
        <w:t xml:space="preserve"> Příjemce žádost podává prostřednictvím IS KP14+.</w:t>
      </w:r>
    </w:p>
  </w:footnote>
  <w:footnote w:id="12">
    <w:p w:rsidR="00DE3E01" w:rsidRDefault="00DE3E01" w:rsidP="00DE62EB">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(projektem) je stanovena v čl. 125 odst. 4 Obecného nařízení.   </w:t>
      </w:r>
    </w:p>
  </w:footnote>
  <w:footnote w:id="13">
    <w:p w:rsidR="00DE3E01" w:rsidRDefault="00DE3E01" w:rsidP="00DE62EB">
      <w:pPr>
        <w:pStyle w:val="Textpoznpodarou"/>
      </w:pPr>
      <w:r>
        <w:rPr>
          <w:rStyle w:val="Znakapoznpodarou"/>
        </w:rPr>
        <w:footnoteRef/>
      </w:r>
      <w:r>
        <w:t xml:space="preserve"> Dle čl. 126 Obecného nařízení je povinností certifikačního orgánu vypracovávat účetní závěrky uvedené v čl. 59 odst. 5 písm. a) finančního nařízení; podrobnosti k sestavení, kontrole a schválení účetní závěrky jsou stanoveny v čl. 137 Obecného nařízení.  </w:t>
      </w:r>
    </w:p>
  </w:footnote>
  <w:footnote w:id="14">
    <w:p w:rsidR="00DE3E01" w:rsidRDefault="00DE3E01" w:rsidP="00DE62EB">
      <w:pPr>
        <w:pStyle w:val="Textpoznpodarou"/>
      </w:pPr>
      <w:r>
        <w:rPr>
          <w:rStyle w:val="Znakapoznpodarou"/>
        </w:rPr>
        <w:footnoteRef/>
      </w:r>
      <w:r>
        <w:t xml:space="preserve"> </w:t>
      </w:r>
      <w:r w:rsidRPr="00B60CA5">
        <w:t xml:space="preserve">Příjemce je povinen zajistit </w:t>
      </w:r>
      <w:r>
        <w:t>trvalost</w:t>
      </w:r>
      <w:r w:rsidRPr="00B60CA5">
        <w:t xml:space="preserve"> projektu, pokud je to z hlediska charakteru daného projektu možné a to po dobu nejméně pěti let po jeho finančním ukončení (netýká se např. projektů vztahujících se k financování školení, mezd, naopak týká se zejména projektů investičních nebo částečně investičních).</w:t>
      </w:r>
    </w:p>
  </w:footnote>
  <w:footnote w:id="15">
    <w:p w:rsidR="00DE3E01" w:rsidRDefault="00DE3E01" w:rsidP="00DE62EB">
      <w:pPr>
        <w:pStyle w:val="Textpoznpodarou"/>
        <w:jc w:val="both"/>
      </w:pPr>
      <w:r>
        <w:rPr>
          <w:rStyle w:val="Znakapoznpodarou"/>
        </w:rPr>
        <w:footnoteRef/>
      </w:r>
      <w:r>
        <w:t xml:space="preserve"> zákon</w:t>
      </w:r>
      <w:r w:rsidRPr="001D7C0F">
        <w:t xml:space="preserve"> č. 137/2006 Sb., o veřejných zakázkách, ve zně</w:t>
      </w:r>
      <w:r>
        <w:t>ní pozdějších předpisů a zákon</w:t>
      </w:r>
      <w:r w:rsidRPr="001D7C0F">
        <w:t xml:space="preserve"> č</w:t>
      </w:r>
      <w:r w:rsidRPr="00ED48D5">
        <w:t xml:space="preserve">. 134/2016 </w:t>
      </w:r>
      <w:r>
        <w:t>Sb.,</w:t>
      </w:r>
      <w:r w:rsidRPr="00ED48D5">
        <w:t xml:space="preserve"> o </w:t>
      </w:r>
      <w:r w:rsidRPr="001D7C0F">
        <w:t>zadávání veřejných zakázek, ve znění pozdějších předpisů.</w:t>
      </w:r>
      <w:r>
        <w:rPr>
          <w:sz w:val="16"/>
          <w:szCs w:val="16"/>
        </w:rPr>
        <w:t xml:space="preserve"> </w:t>
      </w:r>
      <w:r>
        <w:t xml:space="preserve"> </w:t>
      </w:r>
    </w:p>
  </w:footnote>
  <w:footnote w:id="16">
    <w:p w:rsidR="00DE3E01" w:rsidRPr="005C40F1" w:rsidRDefault="00DE3E01" w:rsidP="00136F23">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17">
    <w:p w:rsidR="00DE3E01" w:rsidRDefault="00DE3E01" w:rsidP="00AC0A0A">
      <w:pPr>
        <w:pStyle w:val="Textpoznpodarou"/>
        <w:jc w:val="both"/>
      </w:pPr>
      <w:r>
        <w:rPr>
          <w:rStyle w:val="Znakapoznpodarou"/>
        </w:rPr>
        <w:footnoteRef/>
      </w:r>
      <w:r>
        <w:t xml:space="preserve"> </w:t>
      </w:r>
      <w:r w:rsidRPr="00DE3E01">
        <w:t>Subjekt je povinen informaci o volné pracovní pozici zveřejnit na vlastním webu (příp. webu příslušné organizace či „elektronické“ úřední desce) a na</w:t>
      </w:r>
      <w:r>
        <w:t xml:space="preserve"> webové stránce www.dotaceEU.cz</w:t>
      </w:r>
      <w:r w:rsidRPr="00DE3E01">
        <w:t xml:space="preserve"> , kterou spravuje Ministerstvo pro místní rozvoj. Inzerát na volnou pracovní pozici musí být zveřejněn minimálně po dobu 15 kalendářních dnů.</w:t>
      </w:r>
    </w:p>
  </w:footnote>
  <w:footnote w:id="18">
    <w:p w:rsidR="00DE3E01" w:rsidRDefault="00DE3E01">
      <w:pPr>
        <w:pStyle w:val="Textpoznpodarou"/>
      </w:pPr>
      <w:r>
        <w:rPr>
          <w:rStyle w:val="Znakapoznpodarou"/>
        </w:rPr>
        <w:footnoteRef/>
      </w:r>
      <w:r>
        <w:t xml:space="preserve"> </w:t>
      </w:r>
      <w:r w:rsidRPr="00DE3E01">
        <w:t>Pro potřeby ověření způsobilosti v</w:t>
      </w:r>
      <w:r>
        <w:t>ýdajů v rámci kontrol je nutno archivovat</w:t>
      </w:r>
      <w:r w:rsidRPr="00DE3E01">
        <w:t xml:space="preserve"> </w:t>
      </w:r>
      <w:r>
        <w:t>doklad o zveřejnění oznámení o </w:t>
      </w:r>
      <w:r w:rsidRPr="00DE3E01">
        <w:t>vyhlášeném výběrovém řízení na volné služební místo na</w:t>
      </w:r>
      <w:r>
        <w:t xml:space="preserve"> úřední desce služebního orgánu</w:t>
      </w:r>
      <w:r w:rsidRPr="00DE3E01">
        <w:t xml:space="preserve">, ze kterého musí být zřejmé datum zveřejnění a zároveň datum sejmutí, resp. uzávěrka příjmu přihlášek (např. </w:t>
      </w:r>
      <w:proofErr w:type="spellStart"/>
      <w:r w:rsidRPr="00DE3E01">
        <w:t>printscr</w:t>
      </w:r>
      <w:r>
        <w:t>een</w:t>
      </w:r>
      <w:proofErr w:type="spellEnd"/>
      <w:r>
        <w:t xml:space="preserve"> „elektronické“ úřední desky</w:t>
      </w:r>
      <w:r w:rsidRPr="00DE3E01">
        <w:t>)</w:t>
      </w:r>
      <w:r>
        <w:t>.</w:t>
      </w:r>
    </w:p>
  </w:footnote>
  <w:footnote w:id="19">
    <w:p w:rsidR="00A925E1" w:rsidRDefault="00A925E1">
      <w:pPr>
        <w:pStyle w:val="Textpoznpodarou"/>
      </w:pPr>
      <w:r>
        <w:rPr>
          <w:rStyle w:val="Znakapoznpodarou"/>
        </w:rPr>
        <w:footnoteRef/>
      </w:r>
      <w:r>
        <w:t xml:space="preserve"> Další případy vyžadující písemné zdůvodnění jsou:</w:t>
      </w:r>
    </w:p>
    <w:p w:rsidR="00A925E1" w:rsidRDefault="00A925E1" w:rsidP="00AC0A0A">
      <w:pPr>
        <w:pStyle w:val="Textpoznpodarou"/>
        <w:numPr>
          <w:ilvl w:val="0"/>
          <w:numId w:val="23"/>
        </w:numPr>
      </w:pPr>
      <w:r>
        <w:t>přijetí dalšího v pořadí z úspěšných uchazečů v případě, že nedošlo k uzavření pracovního poměru s uchazečem, který byl výběrovou komisí doporučen k přijetí, z důvodů na jeho straně, nebo v případě, že vítězný uchazeč ukončil pracovní poměr ve zkušební lhůtě;</w:t>
      </w:r>
    </w:p>
    <w:p w:rsidR="00A925E1" w:rsidRDefault="00A925E1" w:rsidP="00AC0A0A">
      <w:pPr>
        <w:pStyle w:val="Textpoznpodarou"/>
        <w:numPr>
          <w:ilvl w:val="0"/>
          <w:numId w:val="23"/>
        </w:numPr>
      </w:pPr>
      <w:r>
        <w:t>do 6 měsíců od data vyhotovení zápisu z daného výběrového řízení vznikne potřeba obsazení další stejné pracovní/typové pozice (za stejných podmínek a požadavků) a tato pozice je obsazena dalším v pořadí z úspěšných uchazečů;</w:t>
      </w:r>
    </w:p>
    <w:p w:rsidR="00A925E1" w:rsidRDefault="00A925E1" w:rsidP="00AC0A0A">
      <w:pPr>
        <w:pStyle w:val="Textpoznpodarou"/>
        <w:numPr>
          <w:ilvl w:val="0"/>
          <w:numId w:val="23"/>
        </w:numPr>
      </w:pPr>
      <w:r>
        <w:t>pracovní poměr je uzavřen z objektivních důvodů se zpožděním.</w:t>
      </w:r>
    </w:p>
  </w:footnote>
  <w:footnote w:id="20">
    <w:p w:rsidR="00DE3E01" w:rsidRDefault="00DE3E01" w:rsidP="00DE62EB">
      <w:pPr>
        <w:pStyle w:val="Textpoznpodarou"/>
        <w:jc w:val="both"/>
      </w:pPr>
      <w:r>
        <w:rPr>
          <w:rStyle w:val="Znakapoznpodarou"/>
        </w:rPr>
        <w:footnoteRef/>
      </w:r>
      <w:r>
        <w:t xml:space="preserve"> </w:t>
      </w:r>
      <w:r w:rsidRPr="00FB16BF">
        <w:t>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w:t>
      </w:r>
    </w:p>
  </w:footnote>
  <w:footnote w:id="21">
    <w:p w:rsidR="00DE3E01" w:rsidRDefault="00DE3E01" w:rsidP="00DE62EB">
      <w:pPr>
        <w:pStyle w:val="Textpoznpodarou"/>
        <w:jc w:val="both"/>
      </w:pPr>
      <w:r>
        <w:rPr>
          <w:rStyle w:val="Znakapoznpodarou"/>
        </w:rPr>
        <w:footnoteRef/>
      </w:r>
      <w:r>
        <w:t xml:space="preserve"> </w:t>
      </w:r>
      <w:r w:rsidRPr="00FB16BF">
        <w:t>Jednu výtku lze udělit za více nepovinných nástrojů dohromady. Nástrojům, které již byly jednou započítány, nelze následně udělit žádnou další výtku.</w:t>
      </w:r>
    </w:p>
  </w:footnote>
  <w:footnote w:id="22">
    <w:p w:rsidR="00DE3E01" w:rsidRDefault="00DE3E01" w:rsidP="005A7129">
      <w:pPr>
        <w:spacing w:before="120"/>
        <w:jc w:val="both"/>
      </w:pPr>
      <w:r w:rsidRPr="003B0968">
        <w:rPr>
          <w:rStyle w:val="Znakapoznpodarou"/>
        </w:rPr>
        <w:footnoteRef/>
      </w:r>
      <w:r w:rsidRPr="003B0968">
        <w:t xml:space="preserve"> </w:t>
      </w:r>
      <w:r w:rsidRPr="00D77671">
        <w:t>Nařízení EP a Rady (EU) č. 1303/2013, Příloha XII, 2.2 Povinnosti příjemců, odst.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1" w:rsidRPr="003D6B47" w:rsidRDefault="00DE3E01" w:rsidP="005A7129">
    <w:pPr>
      <w:pStyle w:val="Zhlav"/>
      <w:spacing w:after="240"/>
      <w:rPr>
        <w:rFonts w:asciiTheme="minorHAnsi" w:hAnsiTheme="minorHAnsi"/>
        <w:b/>
        <w:caps/>
        <w:color w:val="1F4E79" w:themeColor="accent1" w:themeShade="80"/>
        <w:sz w:val="20"/>
        <w:szCs w:val="20"/>
      </w:rPr>
    </w:pPr>
    <w:r w:rsidRPr="009F2BC6">
      <w:rPr>
        <w:rFonts w:asciiTheme="minorHAnsi" w:hAnsiTheme="minorHAnsi"/>
        <w:b/>
        <w:caps/>
        <w:color w:val="1F4E79" w:themeColor="accent1" w:themeShade="80"/>
        <w:sz w:val="20"/>
        <w:szCs w:val="20"/>
      </w:rPr>
      <w:t xml:space="preserve">Operační program Doprava 2014 </w:t>
    </w:r>
    <w:r>
      <w:rPr>
        <w:rFonts w:asciiTheme="minorHAnsi" w:hAnsiTheme="minorHAnsi"/>
        <w:b/>
        <w:caps/>
        <w:color w:val="1F4E79" w:themeColor="accent1" w:themeShade="80"/>
        <w:sz w:val="20"/>
        <w:szCs w:val="20"/>
      </w:rPr>
      <w:t>–</w:t>
    </w:r>
    <w:r w:rsidRPr="009F2BC6">
      <w:rPr>
        <w:rFonts w:asciiTheme="minorHAnsi" w:hAnsiTheme="minorHAnsi"/>
        <w:b/>
        <w:caps/>
        <w:color w:val="1F4E79" w:themeColor="accent1" w:themeShade="80"/>
        <w:sz w:val="20"/>
        <w:szCs w:val="20"/>
      </w:rPr>
      <w:t xml:space="preserve"> 2020</w:t>
    </w:r>
    <w:r>
      <w:rPr>
        <w:rFonts w:asciiTheme="minorHAnsi" w:hAnsiTheme="minorHAnsi"/>
        <w:b/>
        <w:caps/>
        <w:color w:val="1F4E79" w:themeColor="accent1" w:themeShade="80"/>
        <w:sz w:val="20"/>
        <w:szCs w:val="20"/>
      </w:rPr>
      <w:t xml:space="preserve"> </w:t>
    </w:r>
    <w:r>
      <w:rPr>
        <w:rFonts w:asciiTheme="minorHAnsi" w:hAnsiTheme="minorHAnsi"/>
        <w:b/>
        <w:caps/>
        <w:color w:val="1F4E79" w:themeColor="accent1" w:themeShade="80"/>
        <w:sz w:val="20"/>
        <w:szCs w:val="20"/>
      </w:rPr>
      <w:tab/>
      <w:t xml:space="preserve">  </w:t>
    </w:r>
    <w:r w:rsidR="00C474C3">
      <w:rPr>
        <w:rFonts w:asciiTheme="minorHAnsi" w:hAnsiTheme="minorHAnsi"/>
        <w:b/>
        <w:caps/>
        <w:color w:val="1F4E79" w:themeColor="accent1" w:themeShade="80"/>
        <w:sz w:val="20"/>
        <w:szCs w:val="20"/>
      </w:rPr>
      <w:t xml:space="preserve">                              </w:t>
    </w:r>
    <w:r>
      <w:rPr>
        <w:rFonts w:asciiTheme="minorHAnsi" w:hAnsiTheme="minorHAnsi"/>
        <w:b/>
        <w:caps/>
        <w:color w:val="1F4E79" w:themeColor="accent1" w:themeShade="80"/>
        <w:sz w:val="20"/>
        <w:szCs w:val="20"/>
      </w:rPr>
      <w:t xml:space="preserve">                  příloha k </w:t>
    </w:r>
    <w:proofErr w:type="gramStart"/>
    <w:r>
      <w:rPr>
        <w:rFonts w:asciiTheme="minorHAnsi" w:hAnsiTheme="minorHAnsi"/>
        <w:b/>
        <w:caps/>
        <w:color w:val="1F4E79" w:themeColor="accent1" w:themeShade="80"/>
        <w:sz w:val="20"/>
        <w:szCs w:val="20"/>
      </w:rPr>
      <w:t>č.j.</w:t>
    </w:r>
    <w:proofErr w:type="gramEnd"/>
    <w:r>
      <w:rPr>
        <w:rFonts w:asciiTheme="minorHAnsi" w:hAnsiTheme="minorHAnsi"/>
        <w:b/>
        <w:caps/>
        <w:color w:val="1F4E79" w:themeColor="accent1" w:themeShade="80"/>
        <w:sz w:val="20"/>
        <w:szCs w:val="20"/>
      </w:rPr>
      <w:t xml:space="preserve"> </w:t>
    </w:r>
    <w:r w:rsidR="00C474C3">
      <w:rPr>
        <w:rFonts w:asciiTheme="minorHAnsi" w:hAnsiTheme="minorHAnsi"/>
        <w:b/>
        <w:caps/>
        <w:color w:val="1F4E79" w:themeColor="accent1" w:themeShade="80"/>
        <w:sz w:val="20"/>
        <w:szCs w:val="20"/>
      </w:rPr>
      <w:t>XX</w:t>
    </w:r>
    <w:r w:rsidRPr="00376BAB">
      <w:rPr>
        <w:rFonts w:asciiTheme="minorHAnsi" w:hAnsiTheme="minorHAnsi"/>
        <w:b/>
        <w:caps/>
        <w:color w:val="1F4E79" w:themeColor="accent1" w:themeShade="80"/>
        <w:sz w:val="20"/>
        <w:szCs w:val="20"/>
      </w:rPr>
      <w:t>/2016-430-PPR/</w:t>
    </w:r>
    <w:r w:rsidR="00C474C3">
      <w:rPr>
        <w:rFonts w:asciiTheme="minorHAnsi" w:hAnsiTheme="minorHAnsi"/>
        <w:b/>
        <w:caps/>
        <w:color w:val="1F4E79" w:themeColor="accent1" w:themeShade="80"/>
        <w:sz w:val="20"/>
        <w:szCs w:val="20"/>
      </w:rPr>
      <w:t>X</w:t>
    </w:r>
    <w:r w:rsidR="00DA49C7">
      <w:rPr>
        <w:rFonts w:asciiTheme="minorHAnsi" w:hAnsiTheme="minorHAnsi"/>
        <w:b/>
        <w:caps/>
        <w:color w:val="1F4E79" w:themeColor="accent1" w:themeShade="80"/>
        <w:sz w:val="20"/>
        <w:szCs w:val="20"/>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1" w:rsidRDefault="00DE3E01">
    <w:pPr>
      <w:pStyle w:val="Zhlav"/>
    </w:pPr>
    <w:r>
      <w:rPr>
        <w:noProof/>
      </w:rPr>
      <w:drawing>
        <wp:inline distT="0" distB="0" distL="0" distR="0">
          <wp:extent cx="5760720" cy="697671"/>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976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15:restartNumberingAfterBreak="0">
    <w:nsid w:val="0800070F"/>
    <w:multiLevelType w:val="hybridMultilevel"/>
    <w:tmpl w:val="F2986B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E6BBC"/>
    <w:multiLevelType w:val="hybridMultilevel"/>
    <w:tmpl w:val="0B0AB9D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91E29"/>
    <w:multiLevelType w:val="hybridMultilevel"/>
    <w:tmpl w:val="84DA3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7" w15:restartNumberingAfterBreak="0">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9" w15:restartNumberingAfterBreak="0">
    <w:nsid w:val="275110CA"/>
    <w:multiLevelType w:val="hybridMultilevel"/>
    <w:tmpl w:val="3898A12A"/>
    <w:lvl w:ilvl="0" w:tplc="BB6E198A">
      <w:start w:val="2"/>
      <w:numFmt w:val="bullet"/>
      <w:lvlText w:val="-"/>
      <w:lvlJc w:val="left"/>
      <w:pPr>
        <w:ind w:left="720" w:hanging="360"/>
      </w:pPr>
      <w:rPr>
        <w:rFonts w:ascii="Calibri" w:eastAsia="Droid Sans Fallback"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C0872A7"/>
    <w:multiLevelType w:val="hybridMultilevel"/>
    <w:tmpl w:val="98686FCE"/>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36692B1C"/>
    <w:multiLevelType w:val="hybridMultilevel"/>
    <w:tmpl w:val="B96265C8"/>
    <w:lvl w:ilvl="0" w:tplc="8BDAC142">
      <w:start w:val="1"/>
      <w:numFmt w:val="decimal"/>
      <w:lvlText w:val="%1)"/>
      <w:lvlJc w:val="left"/>
      <w:pPr>
        <w:tabs>
          <w:tab w:val="num" w:pos="1065"/>
        </w:tabs>
        <w:ind w:left="1065" w:hanging="360"/>
      </w:pPr>
      <w:rPr>
        <w:rFonts w:hint="default"/>
      </w:rPr>
    </w:lvl>
    <w:lvl w:ilvl="1" w:tplc="04050019">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3" w15:restartNumberingAfterBreak="0">
    <w:nsid w:val="40CF07BE"/>
    <w:multiLevelType w:val="hybridMultilevel"/>
    <w:tmpl w:val="4D2855B4"/>
    <w:lvl w:ilvl="0" w:tplc="F698B53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3251F3C"/>
    <w:multiLevelType w:val="hybridMultilevel"/>
    <w:tmpl w:val="F9EEBD26"/>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5" w15:restartNumberingAfterBreak="0">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15:restartNumberingAfterBreak="0">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18" w15:restartNumberingAfterBreak="0">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19"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20"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1379DE"/>
    <w:multiLevelType w:val="hybridMultilevel"/>
    <w:tmpl w:val="4D2855B4"/>
    <w:lvl w:ilvl="0" w:tplc="F698B53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2"/>
  </w:num>
  <w:num w:numId="2">
    <w:abstractNumId w:val="1"/>
  </w:num>
  <w:num w:numId="3">
    <w:abstractNumId w:val="7"/>
  </w:num>
  <w:num w:numId="4">
    <w:abstractNumId w:val="6"/>
  </w:num>
  <w:num w:numId="5">
    <w:abstractNumId w:val="5"/>
  </w:num>
  <w:num w:numId="6">
    <w:abstractNumId w:val="11"/>
  </w:num>
  <w:num w:numId="7">
    <w:abstractNumId w:val="18"/>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0"/>
    <w:lvlOverride w:ilvl="0">
      <w:startOverride w:val="1"/>
    </w:lvlOverride>
  </w:num>
  <w:num w:numId="12">
    <w:abstractNumId w:val="10"/>
  </w:num>
  <w:num w:numId="13">
    <w:abstractNumId w:val="16"/>
  </w:num>
  <w:num w:numId="14">
    <w:abstractNumId w:val="19"/>
  </w:num>
  <w:num w:numId="15">
    <w:abstractNumId w:val="8"/>
  </w:num>
  <w:num w:numId="16">
    <w:abstractNumId w:val="2"/>
  </w:num>
  <w:num w:numId="17">
    <w:abstractNumId w:val="20"/>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13"/>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E3"/>
    <w:rsid w:val="000303DA"/>
    <w:rsid w:val="00040D50"/>
    <w:rsid w:val="000417AD"/>
    <w:rsid w:val="000572B1"/>
    <w:rsid w:val="00080E89"/>
    <w:rsid w:val="00085939"/>
    <w:rsid w:val="00094121"/>
    <w:rsid w:val="00095C5F"/>
    <w:rsid w:val="000A5262"/>
    <w:rsid w:val="000C1F73"/>
    <w:rsid w:val="000D4363"/>
    <w:rsid w:val="000F1CAA"/>
    <w:rsid w:val="00116738"/>
    <w:rsid w:val="00131396"/>
    <w:rsid w:val="00131D1B"/>
    <w:rsid w:val="00136F23"/>
    <w:rsid w:val="00141410"/>
    <w:rsid w:val="00145543"/>
    <w:rsid w:val="0016149B"/>
    <w:rsid w:val="0017181E"/>
    <w:rsid w:val="00200534"/>
    <w:rsid w:val="00200A8F"/>
    <w:rsid w:val="00232780"/>
    <w:rsid w:val="002342FC"/>
    <w:rsid w:val="00272AF0"/>
    <w:rsid w:val="00291E49"/>
    <w:rsid w:val="002A7731"/>
    <w:rsid w:val="002B7989"/>
    <w:rsid w:val="002C0F09"/>
    <w:rsid w:val="002C7BE2"/>
    <w:rsid w:val="002D66EC"/>
    <w:rsid w:val="002E31F9"/>
    <w:rsid w:val="002E61C0"/>
    <w:rsid w:val="002E6708"/>
    <w:rsid w:val="002F727C"/>
    <w:rsid w:val="00303A3C"/>
    <w:rsid w:val="0030475E"/>
    <w:rsid w:val="00310D2F"/>
    <w:rsid w:val="00316313"/>
    <w:rsid w:val="0037353D"/>
    <w:rsid w:val="00376BAB"/>
    <w:rsid w:val="00382C0D"/>
    <w:rsid w:val="00393CC2"/>
    <w:rsid w:val="003B196F"/>
    <w:rsid w:val="003B39F8"/>
    <w:rsid w:val="003B73CB"/>
    <w:rsid w:val="003D6B47"/>
    <w:rsid w:val="003F0079"/>
    <w:rsid w:val="004047C0"/>
    <w:rsid w:val="00416A5A"/>
    <w:rsid w:val="0043172D"/>
    <w:rsid w:val="00491E2E"/>
    <w:rsid w:val="004F0ACD"/>
    <w:rsid w:val="00501B69"/>
    <w:rsid w:val="0052487E"/>
    <w:rsid w:val="0055261F"/>
    <w:rsid w:val="00556B32"/>
    <w:rsid w:val="00581FD4"/>
    <w:rsid w:val="00591BB0"/>
    <w:rsid w:val="0059585C"/>
    <w:rsid w:val="005A09BC"/>
    <w:rsid w:val="005A7129"/>
    <w:rsid w:val="005A7E36"/>
    <w:rsid w:val="005B3277"/>
    <w:rsid w:val="00610CD6"/>
    <w:rsid w:val="0061292C"/>
    <w:rsid w:val="00654469"/>
    <w:rsid w:val="0066153E"/>
    <w:rsid w:val="00667ADE"/>
    <w:rsid w:val="006B6B7B"/>
    <w:rsid w:val="006E6268"/>
    <w:rsid w:val="00704725"/>
    <w:rsid w:val="00714D66"/>
    <w:rsid w:val="00726108"/>
    <w:rsid w:val="00747031"/>
    <w:rsid w:val="00767CC6"/>
    <w:rsid w:val="007A2E07"/>
    <w:rsid w:val="007D394D"/>
    <w:rsid w:val="007E79C8"/>
    <w:rsid w:val="00822B25"/>
    <w:rsid w:val="00831199"/>
    <w:rsid w:val="00863D9F"/>
    <w:rsid w:val="0087383A"/>
    <w:rsid w:val="008B7985"/>
    <w:rsid w:val="008C3357"/>
    <w:rsid w:val="00902014"/>
    <w:rsid w:val="00923A74"/>
    <w:rsid w:val="00926FB6"/>
    <w:rsid w:val="00965720"/>
    <w:rsid w:val="00972196"/>
    <w:rsid w:val="009747FA"/>
    <w:rsid w:val="0099610E"/>
    <w:rsid w:val="009D09CE"/>
    <w:rsid w:val="009D303F"/>
    <w:rsid w:val="009F2BC6"/>
    <w:rsid w:val="00A11994"/>
    <w:rsid w:val="00A54451"/>
    <w:rsid w:val="00A849F8"/>
    <w:rsid w:val="00A925E1"/>
    <w:rsid w:val="00AC0A0A"/>
    <w:rsid w:val="00AC171B"/>
    <w:rsid w:val="00AC2BE1"/>
    <w:rsid w:val="00AE165E"/>
    <w:rsid w:val="00AE2683"/>
    <w:rsid w:val="00AF4B6C"/>
    <w:rsid w:val="00B05792"/>
    <w:rsid w:val="00B11118"/>
    <w:rsid w:val="00B47C57"/>
    <w:rsid w:val="00B55C45"/>
    <w:rsid w:val="00B61138"/>
    <w:rsid w:val="00B805EF"/>
    <w:rsid w:val="00BA0582"/>
    <w:rsid w:val="00BE6BE1"/>
    <w:rsid w:val="00BE6C31"/>
    <w:rsid w:val="00BF0E89"/>
    <w:rsid w:val="00C4410E"/>
    <w:rsid w:val="00C474C3"/>
    <w:rsid w:val="00C905C9"/>
    <w:rsid w:val="00CB0578"/>
    <w:rsid w:val="00CD33CD"/>
    <w:rsid w:val="00CE15C6"/>
    <w:rsid w:val="00CE62E3"/>
    <w:rsid w:val="00D16832"/>
    <w:rsid w:val="00D26E1D"/>
    <w:rsid w:val="00D66F4B"/>
    <w:rsid w:val="00DA49C7"/>
    <w:rsid w:val="00DC3F9A"/>
    <w:rsid w:val="00DC7A67"/>
    <w:rsid w:val="00DE3E01"/>
    <w:rsid w:val="00DE62EB"/>
    <w:rsid w:val="00E37084"/>
    <w:rsid w:val="00E416F5"/>
    <w:rsid w:val="00E6489F"/>
    <w:rsid w:val="00EB5517"/>
    <w:rsid w:val="00EC3953"/>
    <w:rsid w:val="00EE3E4A"/>
    <w:rsid w:val="00F00D7A"/>
    <w:rsid w:val="00F070A4"/>
    <w:rsid w:val="00FA77EC"/>
    <w:rsid w:val="00FB2EC6"/>
    <w:rsid w:val="00FC054C"/>
    <w:rsid w:val="00FD7B27"/>
    <w:rsid w:val="00FE6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74209-9302-458A-9EF9-4FA7903B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2E3"/>
    <w:pPr>
      <w:spacing w:after="12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CE62E3"/>
    <w:pPr>
      <w:keepNext/>
      <w:outlineLvl w:val="0"/>
    </w:pPr>
    <w:rPr>
      <w:rFonts w:ascii="Arial Black" w:hAnsi="Arial Black" w:cs="Arial"/>
      <w:b/>
      <w:bCs/>
      <w:sz w:val="28"/>
    </w:rPr>
  </w:style>
  <w:style w:type="paragraph" w:styleId="Nadpis3">
    <w:name w:val="heading 3"/>
    <w:basedOn w:val="Normln"/>
    <w:next w:val="Normln"/>
    <w:link w:val="Nadpis3Char"/>
    <w:uiPriority w:val="99"/>
    <w:unhideWhenUsed/>
    <w:qFormat/>
    <w:rsid w:val="00DE62E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E62E3"/>
    <w:rPr>
      <w:rFonts w:ascii="Arial Black" w:eastAsia="Times New Roman" w:hAnsi="Arial Black" w:cs="Arial"/>
      <w:b/>
      <w:bCs/>
      <w:sz w:val="28"/>
      <w:szCs w:val="24"/>
      <w:lang w:eastAsia="cs-CZ"/>
    </w:rPr>
  </w:style>
  <w:style w:type="paragraph" w:styleId="Textpoznpodarou">
    <w:name w:val="footnote text"/>
    <w:aliases w:val="Text poznámky pod čiarou 007,pozn. pod čarou,Schriftart: 9 pt,Schriftart: 10 pt,Schriftart: 8 pt,Podrozdział,Footnote,Podrozdzia3,Fußnotentextf,Geneva 9,Font: Geneva 9,Boston 10,f,Footnote Text Char,Char1,Char,Text pozn. pod čarou1"/>
    <w:basedOn w:val="Normln"/>
    <w:link w:val="TextpoznpodarouChar"/>
    <w:uiPriority w:val="99"/>
    <w:qFormat/>
    <w:rsid w:val="00CE62E3"/>
    <w:pPr>
      <w:spacing w:before="40" w:after="0"/>
      <w:ind w:left="113" w:hanging="113"/>
    </w:pPr>
    <w:rPr>
      <w:sz w:val="20"/>
      <w:szCs w:val="20"/>
    </w:rPr>
  </w:style>
  <w:style w:type="character" w:customStyle="1" w:styleId="TextpoznpodarouChar">
    <w:name w:val="Text pozn. pod čarou Char"/>
    <w:aliases w:val="Text poznámky pod čiarou 007 Char,pozn. pod čarou Char,Schriftart: 9 pt Char,Schriftart: 10 pt Char,Schriftart: 8 pt Char,Podrozdział Char,Footnote Char,Podrozdzia3 Char,Fußnotentextf Char,Geneva 9 Char,Font: Geneva 9 Char"/>
    <w:basedOn w:val="Standardnpsmoodstavce"/>
    <w:link w:val="Textpoznpodarou"/>
    <w:uiPriority w:val="99"/>
    <w:rsid w:val="00CE62E3"/>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uiPriority w:val="99"/>
    <w:rsid w:val="00CE62E3"/>
    <w:rPr>
      <w:vertAlign w:val="superscript"/>
    </w:rPr>
  </w:style>
  <w:style w:type="paragraph" w:customStyle="1" w:styleId="nadpisploha">
    <w:name w:val="* nadpis příloha"/>
    <w:basedOn w:val="Nadpis1"/>
    <w:rsid w:val="00CE62E3"/>
    <w:pPr>
      <w:ind w:left="1871" w:hanging="1871"/>
    </w:pPr>
    <w:rPr>
      <w:rFonts w:ascii="Arial" w:hAnsi="Arial"/>
    </w:rPr>
  </w:style>
  <w:style w:type="paragraph" w:styleId="Zhlav">
    <w:name w:val="header"/>
    <w:basedOn w:val="Normln"/>
    <w:link w:val="ZhlavChar"/>
    <w:uiPriority w:val="99"/>
    <w:unhideWhenUsed/>
    <w:rsid w:val="009F2BC6"/>
    <w:pPr>
      <w:tabs>
        <w:tab w:val="center" w:pos="4536"/>
        <w:tab w:val="right" w:pos="9072"/>
      </w:tabs>
      <w:spacing w:after="0"/>
    </w:pPr>
  </w:style>
  <w:style w:type="character" w:customStyle="1" w:styleId="ZhlavChar">
    <w:name w:val="Záhlaví Char"/>
    <w:basedOn w:val="Standardnpsmoodstavce"/>
    <w:link w:val="Zhlav"/>
    <w:uiPriority w:val="99"/>
    <w:rsid w:val="009F2BC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2BC6"/>
    <w:pPr>
      <w:tabs>
        <w:tab w:val="center" w:pos="4536"/>
        <w:tab w:val="right" w:pos="9072"/>
      </w:tabs>
      <w:spacing w:after="0"/>
    </w:pPr>
  </w:style>
  <w:style w:type="character" w:customStyle="1" w:styleId="ZpatChar">
    <w:name w:val="Zápatí Char"/>
    <w:basedOn w:val="Standardnpsmoodstavce"/>
    <w:link w:val="Zpat"/>
    <w:uiPriority w:val="99"/>
    <w:rsid w:val="009F2BC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4410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410E"/>
    <w:rPr>
      <w:rFonts w:ascii="Segoe UI" w:eastAsia="Times New Roman" w:hAnsi="Segoe UI" w:cs="Segoe UI"/>
      <w:sz w:val="18"/>
      <w:szCs w:val="18"/>
      <w:lang w:eastAsia="cs-CZ"/>
    </w:rPr>
  </w:style>
  <w:style w:type="paragraph" w:styleId="Revize">
    <w:name w:val="Revision"/>
    <w:hidden/>
    <w:uiPriority w:val="99"/>
    <w:semiHidden/>
    <w:rsid w:val="00291E49"/>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65720"/>
    <w:rPr>
      <w:sz w:val="16"/>
      <w:szCs w:val="16"/>
    </w:rPr>
  </w:style>
  <w:style w:type="paragraph" w:styleId="Textkomente">
    <w:name w:val="annotation text"/>
    <w:basedOn w:val="Normln"/>
    <w:link w:val="TextkomenteChar"/>
    <w:uiPriority w:val="99"/>
    <w:semiHidden/>
    <w:unhideWhenUsed/>
    <w:rsid w:val="00965720"/>
    <w:rPr>
      <w:sz w:val="20"/>
      <w:szCs w:val="20"/>
    </w:rPr>
  </w:style>
  <w:style w:type="character" w:customStyle="1" w:styleId="TextkomenteChar">
    <w:name w:val="Text komentáře Char"/>
    <w:basedOn w:val="Standardnpsmoodstavce"/>
    <w:link w:val="Textkomente"/>
    <w:uiPriority w:val="99"/>
    <w:semiHidden/>
    <w:rsid w:val="0096572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5720"/>
    <w:rPr>
      <w:b/>
      <w:bCs/>
    </w:rPr>
  </w:style>
  <w:style w:type="character" w:customStyle="1" w:styleId="PedmtkomenteChar">
    <w:name w:val="Předmět komentáře Char"/>
    <w:basedOn w:val="TextkomenteChar"/>
    <w:link w:val="Pedmtkomente"/>
    <w:uiPriority w:val="99"/>
    <w:semiHidden/>
    <w:rsid w:val="00965720"/>
    <w:rPr>
      <w:rFonts w:ascii="Times New Roman" w:eastAsia="Times New Roman" w:hAnsi="Times New Roman" w:cs="Times New Roman"/>
      <w:b/>
      <w:bCs/>
      <w:sz w:val="20"/>
      <w:szCs w:val="20"/>
      <w:lang w:eastAsia="cs-CZ"/>
    </w:rPr>
  </w:style>
  <w:style w:type="paragraph" w:styleId="Odstavecseseznamem">
    <w:name w:val="List Paragraph"/>
    <w:aliases w:val="Nad"/>
    <w:basedOn w:val="Normln"/>
    <w:link w:val="OdstavecseseznamemChar"/>
    <w:uiPriority w:val="34"/>
    <w:qFormat/>
    <w:rsid w:val="00556B32"/>
    <w:pPr>
      <w:ind w:left="720"/>
      <w:contextualSpacing/>
    </w:pPr>
  </w:style>
  <w:style w:type="character" w:customStyle="1" w:styleId="Nadpis3Char">
    <w:name w:val="Nadpis 3 Char"/>
    <w:basedOn w:val="Standardnpsmoodstavce"/>
    <w:link w:val="Nadpis3"/>
    <w:uiPriority w:val="99"/>
    <w:rsid w:val="00DE62EB"/>
    <w:rPr>
      <w:rFonts w:asciiTheme="majorHAnsi" w:eastAsiaTheme="majorEastAsia" w:hAnsiTheme="majorHAnsi" w:cstheme="majorBidi"/>
      <w:color w:val="1F4D78" w:themeColor="accent1" w:themeShade="7F"/>
      <w:sz w:val="24"/>
      <w:szCs w:val="24"/>
      <w:lang w:eastAsia="cs-CZ"/>
    </w:rPr>
  </w:style>
  <w:style w:type="paragraph" w:styleId="Zkladntext">
    <w:name w:val="Body Text"/>
    <w:basedOn w:val="Normln"/>
    <w:link w:val="ZkladntextChar"/>
    <w:uiPriority w:val="99"/>
    <w:rsid w:val="00DE62EB"/>
    <w:pPr>
      <w:spacing w:after="0"/>
    </w:pPr>
    <w:rPr>
      <w:szCs w:val="20"/>
    </w:rPr>
  </w:style>
  <w:style w:type="character" w:customStyle="1" w:styleId="ZkladntextChar">
    <w:name w:val="Základní text Char"/>
    <w:basedOn w:val="Standardnpsmoodstavce"/>
    <w:link w:val="Zkladntext"/>
    <w:uiPriority w:val="99"/>
    <w:rsid w:val="00DE62EB"/>
    <w:rPr>
      <w:rFonts w:ascii="Times New Roman" w:eastAsia="Times New Roman" w:hAnsi="Times New Roman" w:cs="Times New Roman"/>
      <w:sz w:val="24"/>
      <w:szCs w:val="20"/>
      <w:lang w:eastAsia="cs-CZ"/>
    </w:rPr>
  </w:style>
  <w:style w:type="paragraph" w:styleId="Zkladntext3">
    <w:name w:val="Body Text 3"/>
    <w:basedOn w:val="Normln"/>
    <w:link w:val="Zkladntext3Char"/>
    <w:uiPriority w:val="99"/>
    <w:rsid w:val="00DE62EB"/>
    <w:pPr>
      <w:widowControl w:val="0"/>
      <w:tabs>
        <w:tab w:val="left" w:pos="708"/>
      </w:tabs>
      <w:spacing w:after="0"/>
      <w:jc w:val="both"/>
    </w:pPr>
    <w:rPr>
      <w:szCs w:val="20"/>
    </w:rPr>
  </w:style>
  <w:style w:type="character" w:customStyle="1" w:styleId="Zkladntext3Char">
    <w:name w:val="Základní text 3 Char"/>
    <w:basedOn w:val="Standardnpsmoodstavce"/>
    <w:link w:val="Zkladntext3"/>
    <w:uiPriority w:val="99"/>
    <w:rsid w:val="00DE62EB"/>
    <w:rPr>
      <w:rFonts w:ascii="Times New Roman" w:eastAsia="Times New Roman" w:hAnsi="Times New Roman" w:cs="Times New Roman"/>
      <w:sz w:val="24"/>
      <w:szCs w:val="20"/>
      <w:lang w:eastAsia="cs-CZ"/>
    </w:rPr>
  </w:style>
  <w:style w:type="paragraph" w:customStyle="1" w:styleId="Mjstyl3">
    <w:name w:val="Můj styl 3"/>
    <w:basedOn w:val="Normln"/>
    <w:next w:val="Normln"/>
    <w:uiPriority w:val="99"/>
    <w:rsid w:val="00DE62EB"/>
    <w:pPr>
      <w:numPr>
        <w:ilvl w:val="1"/>
        <w:numId w:val="8"/>
      </w:numPr>
      <w:spacing w:before="120"/>
      <w:jc w:val="both"/>
    </w:pPr>
    <w:rPr>
      <w:rFonts w:ascii="Arial" w:hAnsi="Arial" w:cs="Arial"/>
      <w:sz w:val="22"/>
      <w:szCs w:val="22"/>
    </w:rPr>
  </w:style>
  <w:style w:type="character" w:customStyle="1" w:styleId="hps">
    <w:name w:val="hps"/>
    <w:basedOn w:val="Standardnpsmoodstavce"/>
    <w:uiPriority w:val="99"/>
    <w:rsid w:val="00DE62EB"/>
    <w:rPr>
      <w:rFonts w:ascii="Times New Roman" w:hAnsi="Times New Roman" w:cs="Times New Roman" w:hint="default"/>
    </w:rPr>
  </w:style>
  <w:style w:type="paragraph" w:customStyle="1" w:styleId="Mjstyl4">
    <w:name w:val="Můj styl 4"/>
    <w:basedOn w:val="Zkladntext"/>
    <w:uiPriority w:val="99"/>
    <w:rsid w:val="00DE62EB"/>
    <w:pPr>
      <w:numPr>
        <w:numId w:val="11"/>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DE62EB"/>
    <w:rPr>
      <w:rFonts w:ascii="Arial" w:hAnsi="Arial" w:cs="Arial"/>
      <w:sz w:val="22"/>
      <w:szCs w:val="22"/>
    </w:rPr>
  </w:style>
  <w:style w:type="character" w:customStyle="1" w:styleId="OdstavecseseznamemChar">
    <w:name w:val="Odstavec se seznamem Char"/>
    <w:aliases w:val="Nad Char"/>
    <w:link w:val="Odstavecseseznamem"/>
    <w:uiPriority w:val="34"/>
    <w:rsid w:val="00DE62EB"/>
    <w:rPr>
      <w:rFonts w:ascii="Times New Roman" w:eastAsia="Times New Roman" w:hAnsi="Times New Roman" w:cs="Times New Roman"/>
      <w:sz w:val="24"/>
      <w:szCs w:val="24"/>
      <w:lang w:eastAsia="cs-CZ"/>
    </w:rPr>
  </w:style>
  <w:style w:type="character" w:customStyle="1" w:styleId="OdrkyvMPPChar">
    <w:name w:val="Odrážky v MPP Char"/>
    <w:basedOn w:val="Standardnpsmoodstavce"/>
    <w:link w:val="OdrkyvMPP"/>
    <w:locked/>
    <w:rsid w:val="00DE62EB"/>
    <w:rPr>
      <w:rFonts w:ascii="Arial" w:hAnsi="Arial" w:cs="Arial"/>
      <w:sz w:val="24"/>
    </w:rPr>
  </w:style>
  <w:style w:type="paragraph" w:customStyle="1" w:styleId="OdrkyvMPP">
    <w:name w:val="Odrážky v MPP"/>
    <w:basedOn w:val="Odstavecseseznamem"/>
    <w:link w:val="OdrkyvMPPChar"/>
    <w:qFormat/>
    <w:rsid w:val="00DE62EB"/>
    <w:pPr>
      <w:spacing w:before="120" w:after="0"/>
      <w:ind w:left="0"/>
      <w:contextualSpacing w:val="0"/>
      <w:jc w:val="both"/>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74254">
      <w:bodyDiv w:val="1"/>
      <w:marLeft w:val="0"/>
      <w:marRight w:val="0"/>
      <w:marTop w:val="0"/>
      <w:marBottom w:val="0"/>
      <w:divBdr>
        <w:top w:val="none" w:sz="0" w:space="0" w:color="auto"/>
        <w:left w:val="none" w:sz="0" w:space="0" w:color="auto"/>
        <w:bottom w:val="none" w:sz="0" w:space="0" w:color="auto"/>
        <w:right w:val="none" w:sz="0" w:space="0" w:color="auto"/>
      </w:divBdr>
    </w:div>
    <w:div w:id="18925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A2DC-6ACE-4983-856C-C0CE7EC1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5061</Words>
  <Characters>29865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Čermák Miloš Ing.</dc:creator>
  <cp:lastModifiedBy>Melenová Jana Ing.</cp:lastModifiedBy>
  <cp:revision>4</cp:revision>
  <cp:lastPrinted>2016-11-30T10:40:00Z</cp:lastPrinted>
  <dcterms:created xsi:type="dcterms:W3CDTF">2017-01-26T11:54:00Z</dcterms:created>
  <dcterms:modified xsi:type="dcterms:W3CDTF">2017-01-26T12:12:00Z</dcterms:modified>
</cp:coreProperties>
</file>